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jc w:val="left"/>
        <w:rPr>
          <w:rFonts w:hint="default" w:eastAsia="宋体"/>
          <w:b/>
          <w:sz w:val="20"/>
          <w:szCs w:val="20"/>
          <w:lang w:val="en-US" w:eastAsia="zh-CN"/>
        </w:rPr>
      </w:pPr>
      <w:bookmarkStart w:id="0" w:name="Title"/>
      <w:bookmarkEnd w:id="0"/>
      <w:bookmarkStart w:id="1" w:name="DocumentFor"/>
      <w:bookmarkEnd w:id="1"/>
      <w:r>
        <w:rPr>
          <w:b/>
          <w:sz w:val="20"/>
          <w:szCs w:val="20"/>
        </w:rPr>
        <w:t>3GPP TSG RAN WG2</w:t>
      </w:r>
      <w:r>
        <w:rPr>
          <w:rFonts w:hint="eastAsia"/>
          <w:b/>
          <w:sz w:val="20"/>
          <w:szCs w:val="20"/>
        </w:rPr>
        <w:t xml:space="preserve"> Meeting </w:t>
      </w:r>
      <w:r>
        <w:rPr>
          <w:b/>
          <w:sz w:val="20"/>
          <w:szCs w:val="20"/>
        </w:rPr>
        <w:t>#1</w:t>
      </w:r>
      <w:r>
        <w:rPr>
          <w:rFonts w:hint="eastAsia" w:eastAsia="宋体"/>
          <w:b/>
          <w:sz w:val="20"/>
          <w:szCs w:val="20"/>
          <w:lang w:val="en-US" w:eastAsia="zh-CN"/>
        </w:rPr>
        <w:t>29bis</w:t>
      </w:r>
      <w:r>
        <w:rPr>
          <w:b/>
          <w:sz w:val="20"/>
          <w:szCs w:val="20"/>
        </w:rPr>
        <w:tab/>
      </w:r>
      <w:r>
        <w:rPr>
          <w:rFonts w:hint="eastAsia"/>
          <w:b/>
          <w:sz w:val="20"/>
          <w:szCs w:val="20"/>
        </w:rPr>
        <w:t>R2-2502702</w:t>
      </w:r>
      <w:bookmarkStart w:id="71" w:name="_GoBack"/>
      <w:bookmarkEnd w:id="71"/>
    </w:p>
    <w:p>
      <w:pPr>
        <w:pStyle w:val="56"/>
        <w:jc w:val="left"/>
        <w:rPr>
          <w:rFonts w:hint="eastAsia" w:cs="Arial"/>
          <w:sz w:val="20"/>
          <w:szCs w:val="20"/>
        </w:rPr>
      </w:pPr>
      <w:r>
        <w:rPr>
          <w:rFonts w:hint="eastAsia" w:cs="Arial"/>
          <w:sz w:val="20"/>
          <w:szCs w:val="20"/>
        </w:rPr>
        <w:t>Wuhan, China, Apr. 7</w:t>
      </w:r>
      <w:r>
        <w:rPr>
          <w:rFonts w:hint="eastAsia" w:cs="Arial"/>
          <w:sz w:val="20"/>
          <w:szCs w:val="20"/>
          <w:vertAlign w:val="superscript"/>
        </w:rPr>
        <w:t>t</w:t>
      </w:r>
      <w:r>
        <w:rPr>
          <w:rFonts w:hint="eastAsia" w:cs="Arial"/>
          <w:sz w:val="20"/>
          <w:szCs w:val="20"/>
        </w:rPr>
        <w:t>h – 11</w:t>
      </w:r>
      <w:r>
        <w:rPr>
          <w:rFonts w:hint="eastAsia" w:cs="Arial"/>
          <w:sz w:val="20"/>
          <w:szCs w:val="20"/>
          <w:vertAlign w:val="superscript"/>
        </w:rPr>
        <w:t>th</w:t>
      </w:r>
      <w:r>
        <w:rPr>
          <w:rFonts w:hint="eastAsia" w:cs="Arial"/>
          <w:sz w:val="20"/>
          <w:szCs w:val="20"/>
        </w:rPr>
        <w:t xml:space="preserve"> , 2025</w:t>
      </w:r>
    </w:p>
    <w:p>
      <w:pPr>
        <w:pStyle w:val="56"/>
        <w:jc w:val="left"/>
        <w:rPr>
          <w:rFonts w:hint="default" w:eastAsia="宋体" w:cs="Arial"/>
          <w:sz w:val="20"/>
          <w:szCs w:val="20"/>
          <w:lang w:val="en-US" w:eastAsia="zh-CN"/>
        </w:rPr>
      </w:pPr>
      <w:r>
        <w:rPr>
          <w:rFonts w:cs="Arial"/>
          <w:sz w:val="20"/>
          <w:szCs w:val="20"/>
        </w:rPr>
        <w:t>Agenda Item:</w:t>
      </w:r>
      <w:r>
        <w:rPr>
          <w:rFonts w:cs="Arial"/>
          <w:sz w:val="20"/>
          <w:szCs w:val="20"/>
        </w:rPr>
        <w:tab/>
      </w:r>
      <w:r>
        <w:rPr>
          <w:rFonts w:hint="eastAsia" w:eastAsia="宋体" w:cs="Arial"/>
          <w:sz w:val="20"/>
          <w:szCs w:val="20"/>
          <w:lang w:val="en-US" w:eastAsia="zh-CN"/>
        </w:rPr>
        <w:t>8.9.4</w:t>
      </w:r>
    </w:p>
    <w:p>
      <w:pPr>
        <w:pStyle w:val="56"/>
        <w:jc w:val="left"/>
        <w:rPr>
          <w:rFonts w:cs="Arial"/>
          <w:sz w:val="20"/>
          <w:szCs w:val="20"/>
        </w:rPr>
      </w:pPr>
      <w:r>
        <w:rPr>
          <w:rFonts w:cs="Arial"/>
          <w:sz w:val="20"/>
          <w:szCs w:val="20"/>
        </w:rPr>
        <w:t>Source:</w:t>
      </w:r>
      <w:r>
        <w:rPr>
          <w:rFonts w:cs="Arial"/>
          <w:sz w:val="20"/>
          <w:szCs w:val="20"/>
        </w:rPr>
        <w:tab/>
      </w:r>
      <w:r>
        <w:rPr>
          <w:rFonts w:eastAsia="宋体" w:cs="Arial"/>
          <w:sz w:val="20"/>
          <w:szCs w:val="20"/>
        </w:rPr>
        <w:t>CMCC</w:t>
      </w:r>
      <w:r>
        <w:rPr>
          <w:rFonts w:eastAsia="宋体" w:cs="Arial"/>
          <w:sz w:val="20"/>
          <w:szCs w:val="20"/>
        </w:rPr>
        <w:tab/>
      </w:r>
    </w:p>
    <w:p>
      <w:pPr>
        <w:pStyle w:val="56"/>
        <w:jc w:val="left"/>
        <w:rPr>
          <w:rFonts w:hint="default" w:cs="Arial" w:eastAsiaTheme="minorEastAsia"/>
          <w:sz w:val="20"/>
          <w:szCs w:val="20"/>
          <w:lang w:val="en-US" w:eastAsia="zh-CN"/>
        </w:rPr>
      </w:pPr>
      <w:r>
        <w:rPr>
          <w:rFonts w:cs="Arial"/>
          <w:sz w:val="20"/>
          <w:szCs w:val="20"/>
        </w:rPr>
        <w:t>Title:</w:t>
      </w:r>
      <w:r>
        <w:rPr>
          <w:rFonts w:cs="Arial"/>
          <w:sz w:val="20"/>
          <w:szCs w:val="20"/>
        </w:rPr>
        <w:tab/>
      </w:r>
      <w:r>
        <w:rPr>
          <w:rFonts w:hint="eastAsia" w:eastAsia="宋体" w:cs="Arial"/>
          <w:sz w:val="20"/>
          <w:szCs w:val="20"/>
          <w:lang w:val="en-US" w:eastAsia="zh-CN"/>
        </w:rPr>
        <w:t>Support</w:t>
      </w:r>
      <w:r>
        <w:rPr>
          <w:rFonts w:hint="eastAsia" w:cs="Arial" w:eastAsiaTheme="minorEastAsia"/>
          <w:sz w:val="20"/>
          <w:szCs w:val="20"/>
          <w:lang w:val="en-US" w:eastAsia="zh-CN"/>
        </w:rPr>
        <w:t xml:space="preserve"> of PWS messages for NB-IoT</w:t>
      </w:r>
    </w:p>
    <w:p>
      <w:pPr>
        <w:pStyle w:val="56"/>
        <w:jc w:val="left"/>
        <w:rPr>
          <w:rFonts w:hint="eastAsia" w:eastAsia="宋体" w:cs="Arial"/>
          <w:sz w:val="20"/>
          <w:szCs w:val="20"/>
          <w:lang w:val="en-US" w:eastAsia="zh-CN"/>
        </w:rPr>
      </w:pPr>
      <w:r>
        <w:rPr>
          <w:rFonts w:cs="Arial"/>
          <w:sz w:val="20"/>
          <w:szCs w:val="20"/>
        </w:rPr>
        <w:t>Document for:</w:t>
      </w:r>
      <w:r>
        <w:rPr>
          <w:rFonts w:cs="Arial"/>
          <w:sz w:val="20"/>
          <w:szCs w:val="20"/>
        </w:rPr>
        <w:tab/>
      </w:r>
      <w:r>
        <w:rPr>
          <w:rFonts w:cs="Arial"/>
          <w:sz w:val="20"/>
          <w:szCs w:val="20"/>
        </w:rPr>
        <w:t>Discussion, Decision</w:t>
      </w:r>
    </w:p>
    <w:p>
      <w:pPr>
        <w:pStyle w:val="2"/>
        <w:rPr>
          <w:rFonts w:cs="Arial"/>
          <w:sz w:val="32"/>
          <w:szCs w:val="32"/>
        </w:rPr>
      </w:pPr>
      <w:r>
        <w:rPr>
          <w:rFonts w:cs="Arial"/>
          <w:sz w:val="32"/>
          <w:szCs w:val="32"/>
        </w:rPr>
        <w:t>Introduction</w:t>
      </w:r>
    </w:p>
    <w:p>
      <w:pPr>
        <w:suppressAutoHyphens/>
        <w:adjustRightInd/>
        <w:spacing w:before="120"/>
        <w:rPr>
          <w:rFonts w:ascii="Arial" w:hAnsi="Arial" w:eastAsia="MS Mincho" w:cs="Times New Roman"/>
          <w:i/>
          <w:sz w:val="18"/>
          <w:szCs w:val="24"/>
          <w:lang w:val="en-US" w:eastAsia="en-GB" w:bidi="ar-SA"/>
        </w:rPr>
      </w:pPr>
      <w:r>
        <w:rPr>
          <w:rFonts w:eastAsiaTheme="minorEastAsia"/>
          <w:bCs/>
        </w:rPr>
        <w:t xml:space="preserve">In </w:t>
      </w:r>
      <w:r>
        <w:rPr>
          <w:rFonts w:hint="default" w:eastAsiaTheme="minorEastAsia"/>
          <w:bCs/>
          <w:lang w:val="en-US"/>
        </w:rPr>
        <w:t>last RAN2</w:t>
      </w:r>
      <w:r>
        <w:rPr>
          <w:rFonts w:hint="eastAsia" w:eastAsiaTheme="minorEastAsia"/>
          <w:bCs/>
          <w:lang w:val="en-US" w:eastAsia="zh-CN"/>
        </w:rPr>
        <w:t xml:space="preserve"> </w:t>
      </w:r>
      <w:r>
        <w:rPr>
          <w:rFonts w:eastAsiaTheme="minorEastAsia"/>
          <w:bCs/>
        </w:rPr>
        <w:t xml:space="preserve">meeting, </w:t>
      </w:r>
      <w:r>
        <w:rPr>
          <w:rFonts w:hint="eastAsia" w:cs="Arial" w:eastAsiaTheme="minorEastAsia"/>
          <w:bCs/>
        </w:rPr>
        <w:t>there were some discussions</w:t>
      </w:r>
      <w:r>
        <w:rPr>
          <w:rFonts w:cs="Arial" w:eastAsiaTheme="minorEastAsia"/>
          <w:bCs/>
        </w:rPr>
        <w:t xml:space="preserve"> </w:t>
      </w:r>
      <w:r>
        <w:rPr>
          <w:rFonts w:hint="eastAsia" w:cs="Arial" w:eastAsiaTheme="minorEastAsia"/>
          <w:bCs/>
          <w:lang w:val="en-US" w:eastAsia="zh-CN"/>
        </w:rPr>
        <w:t>on support of PWS for NB-IoT</w:t>
      </w:r>
      <w:r>
        <w:rPr>
          <w:rFonts w:cs="Arial" w:eastAsiaTheme="minorEastAsia"/>
          <w:bCs/>
        </w:rPr>
        <w:t xml:space="preserve"> and some agreements were achieved as follows</w:t>
      </w:r>
      <w:r>
        <w:rPr>
          <w:rFonts w:hint="default" w:cs="Arial" w:eastAsiaTheme="minorEastAsia"/>
          <w:bCs/>
          <w:lang w:val="en-US"/>
        </w:rPr>
        <w:t xml:space="preserve"> [1]</w:t>
      </w:r>
      <w:r>
        <w:rPr>
          <w:rFonts w:cs="Arial" w:eastAsiaTheme="minorEastAsia"/>
          <w:bCs/>
        </w:rPr>
        <w:t>:</w:t>
      </w:r>
      <w:r>
        <w:rPr>
          <w:rFonts w:hint="default" w:cs="Arial" w:eastAsiaTheme="minorEastAsia"/>
          <w:bCs/>
          <w:lang w:val="en-US"/>
        </w:rPr>
        <w:t xml:space="preserve"> </w:t>
      </w:r>
    </w:p>
    <w:p>
      <w:pPr>
        <w:pBdr>
          <w:top w:val="single" w:color="auto" w:sz="4" w:space="1"/>
          <w:left w:val="single" w:color="auto" w:sz="4" w:space="4"/>
          <w:bottom w:val="single" w:color="auto" w:sz="4" w:space="1"/>
          <w:right w:val="single" w:color="auto" w:sz="4" w:space="4"/>
        </w:pBdr>
        <w:tabs>
          <w:tab w:val="left" w:pos="1622"/>
        </w:tabs>
        <w:spacing w:before="0"/>
        <w:ind w:left="1622" w:hanging="363"/>
        <w:rPr>
          <w:rFonts w:ascii="Arial" w:hAnsi="Arial" w:eastAsia="MS Mincho" w:cs="Times New Roman"/>
          <w:szCs w:val="24"/>
          <w:lang w:val="en-US" w:eastAsia="en-GB" w:bidi="ar-SA"/>
        </w:rPr>
      </w:pPr>
      <w:r>
        <w:rPr>
          <w:rFonts w:ascii="Arial" w:hAnsi="Arial" w:eastAsia="MS Mincho" w:cs="Times New Roman"/>
          <w:szCs w:val="24"/>
          <w:lang w:val="en-US" w:eastAsia="en-GB" w:bidi="ar-SA"/>
        </w:rPr>
        <w:t>Agreements:</w:t>
      </w:r>
    </w:p>
    <w:p>
      <w:pPr>
        <w:numPr>
          <w:ilvl w:val="0"/>
          <w:numId w:val="11"/>
        </w:numPr>
        <w:pBdr>
          <w:top w:val="single" w:color="auto" w:sz="4" w:space="1"/>
          <w:left w:val="single" w:color="auto" w:sz="4" w:space="4"/>
          <w:bottom w:val="single" w:color="auto" w:sz="4" w:space="1"/>
          <w:right w:val="single" w:color="auto" w:sz="4" w:space="4"/>
        </w:pBdr>
        <w:tabs>
          <w:tab w:val="left" w:pos="1622"/>
        </w:tabs>
        <w:spacing w:before="0"/>
        <w:ind w:left="1619" w:hanging="360"/>
        <w:rPr>
          <w:rFonts w:ascii="Arial" w:hAnsi="Arial" w:eastAsia="MS Mincho" w:cs="Times New Roman"/>
          <w:szCs w:val="24"/>
          <w:lang w:val="en-US" w:eastAsia="en-GB" w:bidi="ar-SA"/>
        </w:rPr>
      </w:pPr>
      <w:r>
        <w:rPr>
          <w:rFonts w:ascii="Arial" w:hAnsi="Arial" w:eastAsia="MS Mincho" w:cs="Times New Roman"/>
          <w:szCs w:val="24"/>
          <w:lang w:val="en-US" w:eastAsia="en-GB" w:bidi="ar-SA"/>
        </w:rPr>
        <w:t>Introduce geographic information in ETWS messages for geo-fencing in IoT NTN cells</w:t>
      </w:r>
    </w:p>
    <w:p>
      <w:pPr>
        <w:numPr>
          <w:ilvl w:val="0"/>
          <w:numId w:val="11"/>
        </w:numPr>
        <w:pBdr>
          <w:top w:val="single" w:color="auto" w:sz="4" w:space="1"/>
          <w:left w:val="single" w:color="auto" w:sz="4" w:space="4"/>
          <w:bottom w:val="single" w:color="auto" w:sz="4" w:space="1"/>
          <w:right w:val="single" w:color="auto" w:sz="4" w:space="4"/>
        </w:pBdr>
        <w:tabs>
          <w:tab w:val="left" w:pos="1622"/>
        </w:tabs>
        <w:spacing w:before="0"/>
        <w:ind w:left="1619" w:hanging="360"/>
        <w:rPr>
          <w:rFonts w:ascii="Arial" w:hAnsi="Arial" w:eastAsia="MS Mincho" w:cs="Times New Roman"/>
          <w:szCs w:val="24"/>
          <w:lang w:val="en-US" w:eastAsia="en-GB" w:bidi="ar-SA"/>
        </w:rPr>
      </w:pPr>
      <w:r>
        <w:rPr>
          <w:rFonts w:ascii="Arial" w:hAnsi="Arial" w:eastAsia="MS Mincho" w:cs="Times New Roman"/>
          <w:szCs w:val="24"/>
          <w:lang w:val="en-US" w:eastAsia="en-GB" w:bidi="ar-SA"/>
        </w:rPr>
        <w:t>Introduce the Warning Area Coordinates IE for ETWS to describe an emergency area in system information.</w:t>
      </w:r>
    </w:p>
    <w:p>
      <w:pPr>
        <w:numPr>
          <w:ilvl w:val="0"/>
          <w:numId w:val="11"/>
        </w:numPr>
        <w:pBdr>
          <w:top w:val="single" w:color="auto" w:sz="4" w:space="1"/>
          <w:left w:val="single" w:color="auto" w:sz="4" w:space="4"/>
          <w:bottom w:val="single" w:color="auto" w:sz="4" w:space="1"/>
          <w:right w:val="single" w:color="auto" w:sz="4" w:space="4"/>
        </w:pBdr>
        <w:spacing w:before="0"/>
        <w:ind w:left="1619" w:hanging="360"/>
        <w:rPr>
          <w:rFonts w:ascii="Arial" w:hAnsi="Arial" w:eastAsia="MS Mincho" w:cs="Times New Roman"/>
          <w:sz w:val="20"/>
          <w:szCs w:val="24"/>
          <w:lang w:val="en-US" w:eastAsia="en-GB" w:bidi="ar-SA"/>
        </w:rPr>
      </w:pPr>
      <w:r>
        <w:rPr>
          <w:rFonts w:ascii="Arial" w:hAnsi="Arial" w:eastAsia="MS Mincho" w:cs="Times New Roman"/>
          <w:sz w:val="20"/>
          <w:szCs w:val="24"/>
          <w:lang w:val="en-US" w:eastAsia="en-GB" w:bidi="ar-SA"/>
        </w:rPr>
        <w:t>Introduce the Warning Area Coordinates IE to existing ETWS SIBs, i.e., SIB10-NB/11-NB, without introducing the need for segmentation of SIB10-NB</w:t>
      </w:r>
    </w:p>
    <w:p>
      <w:pPr>
        <w:numPr>
          <w:ilvl w:val="0"/>
          <w:numId w:val="11"/>
        </w:numPr>
        <w:pBdr>
          <w:top w:val="single" w:color="auto" w:sz="4" w:space="1"/>
          <w:left w:val="single" w:color="auto" w:sz="4" w:space="4"/>
          <w:bottom w:val="single" w:color="auto" w:sz="4" w:space="1"/>
          <w:right w:val="single" w:color="auto" w:sz="4" w:space="4"/>
        </w:pBdr>
        <w:tabs>
          <w:tab w:val="left" w:pos="1622"/>
        </w:tabs>
        <w:spacing w:before="0"/>
        <w:ind w:left="1619" w:hanging="360"/>
        <w:rPr>
          <w:rFonts w:ascii="Arial" w:hAnsi="Arial" w:eastAsia="MS Mincho" w:cs="Times New Roman"/>
          <w:szCs w:val="24"/>
          <w:lang w:val="en-US" w:eastAsia="en-GB" w:bidi="ar-SA"/>
        </w:rPr>
      </w:pPr>
      <w:r>
        <w:rPr>
          <w:rFonts w:ascii="Arial" w:hAnsi="Arial" w:eastAsia="MS Mincho" w:cs="Times New Roman"/>
          <w:szCs w:val="24"/>
          <w:lang w:val="en-US" w:eastAsia="en-GB" w:bidi="ar-SA"/>
        </w:rPr>
        <w:t>We don’t introduce a new SIB for carrying geographical information for emergency areas</w:t>
      </w:r>
    </w:p>
    <w:p>
      <w:pPr>
        <w:suppressAutoHyphens/>
        <w:adjustRightInd/>
        <w:spacing w:before="120"/>
        <w:rPr>
          <w:rFonts w:hint="eastAsia" w:eastAsiaTheme="minorEastAsia"/>
          <w:lang w:val="en-US" w:eastAsia="zh-CN"/>
        </w:rPr>
      </w:pPr>
      <w:r>
        <w:rPr>
          <w:rFonts w:hint="eastAsia" w:cs="Arial" w:eastAsiaTheme="minorEastAsia"/>
        </w:rPr>
        <w:t>I</w:t>
      </w:r>
      <w:r>
        <w:rPr>
          <w:rFonts w:cs="Arial"/>
        </w:rPr>
        <w:t xml:space="preserve">n this contribution, we would like to provide </w:t>
      </w:r>
      <w:r>
        <w:rPr>
          <w:rFonts w:hint="eastAsia" w:cs="Arial" w:eastAsiaTheme="minorEastAsia"/>
          <w:lang w:val="en-US" w:eastAsia="zh-CN"/>
        </w:rPr>
        <w:t>some further considerations</w:t>
      </w:r>
      <w:r>
        <w:rPr>
          <w:rFonts w:hint="eastAsia" w:cs="Arial" w:eastAsiaTheme="minorEastAsia"/>
        </w:rPr>
        <w:t xml:space="preserve"> </w:t>
      </w:r>
      <w:r>
        <w:rPr>
          <w:rFonts w:cs="Arial"/>
        </w:rPr>
        <w:t xml:space="preserve">on the </w:t>
      </w:r>
      <w:r>
        <w:rPr>
          <w:rFonts w:hint="eastAsia" w:eastAsia="宋体" w:cs="Arial"/>
          <w:lang w:val="en-US" w:eastAsia="zh-CN"/>
        </w:rPr>
        <w:t xml:space="preserve">remaining issues for </w:t>
      </w:r>
      <w:r>
        <w:rPr>
          <w:rFonts w:hint="eastAsia" w:cs="Arial" w:eastAsiaTheme="minorEastAsia"/>
          <w:bCs/>
          <w:lang w:val="en-US" w:eastAsia="zh-CN"/>
        </w:rPr>
        <w:t>PWS for NB-IoT</w:t>
      </w:r>
      <w:r>
        <w:rPr>
          <w:rFonts w:hint="eastAsia" w:cs="Arial" w:eastAsiaTheme="minorEastAsia"/>
        </w:rPr>
        <w:t>.</w:t>
      </w:r>
    </w:p>
    <w:p>
      <w:pPr>
        <w:pStyle w:val="2"/>
        <w:rPr>
          <w:rFonts w:hint="default" w:cs="Arial"/>
          <w:sz w:val="32"/>
          <w:szCs w:val="32"/>
          <w:lang w:val="en-US" w:eastAsia="zh-CN"/>
        </w:rPr>
      </w:pPr>
      <w:r>
        <w:rPr>
          <w:rFonts w:cs="Arial"/>
          <w:sz w:val="32"/>
          <w:szCs w:val="32"/>
        </w:rPr>
        <w:t>Discussion</w:t>
      </w:r>
      <w:bookmarkStart w:id="2" w:name="_Hlk41985036"/>
    </w:p>
    <w:p>
      <w:pPr>
        <w:pStyle w:val="3"/>
        <w:bidi w:val="0"/>
        <w:rPr>
          <w:rFonts w:hint="default" w:eastAsiaTheme="minorEastAsia"/>
          <w:b/>
          <w:bCs/>
          <w:sz w:val="24"/>
          <w:szCs w:val="24"/>
          <w:u w:val="single"/>
          <w:lang w:val="en-US" w:eastAsia="zh-CN"/>
        </w:rPr>
      </w:pPr>
      <w:r>
        <w:rPr>
          <w:rFonts w:hint="eastAsia" w:eastAsia="宋体" w:cs="Arial"/>
          <w:b/>
          <w:bCs/>
          <w:sz w:val="24"/>
          <w:szCs w:val="24"/>
          <w:lang w:val="en-US" w:eastAsia="zh-CN"/>
        </w:rPr>
        <w:t xml:space="preserve"> PWS reception in RRC_CONNECTED</w:t>
      </w:r>
    </w:p>
    <w:p>
      <w:pPr>
        <w:pStyle w:val="60"/>
        <w:spacing w:after="0"/>
        <w:ind w:left="0" w:firstLine="0"/>
        <w:rPr>
          <w:rFonts w:hint="eastAsia" w:eastAsiaTheme="minorEastAsia"/>
          <w:b w:val="0"/>
          <w:bCs w:val="0"/>
          <w:sz w:val="20"/>
          <w:szCs w:val="20"/>
          <w:lang w:val="en-US" w:eastAsia="zh-CN"/>
        </w:rPr>
      </w:pPr>
      <w:r>
        <w:rPr>
          <w:rFonts w:hint="eastAsia" w:eastAsiaTheme="minorEastAsia"/>
          <w:b w:val="0"/>
          <w:bCs w:val="0"/>
          <w:sz w:val="20"/>
          <w:szCs w:val="20"/>
          <w:lang w:val="en-US" w:eastAsia="zh-CN"/>
        </w:rPr>
        <w:t>In RAN #107, a revised WID [2] is approved, and a note about PWS notification in RRC_CONNECTED is as following: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60"/>
              <w:spacing w:after="0"/>
              <w:rPr>
                <w:rFonts w:hint="default" w:eastAsiaTheme="minorEastAsia"/>
                <w:b w:val="0"/>
                <w:bCs w:val="0"/>
                <w:sz w:val="20"/>
                <w:szCs w:val="20"/>
                <w:vertAlign w:val="baseline"/>
                <w:lang w:val="en-US" w:eastAsia="zh-CN"/>
              </w:rPr>
            </w:pPr>
            <w:r>
              <w:rPr>
                <w:rFonts w:hint="default" w:eastAsiaTheme="minorEastAsia"/>
                <w:b w:val="0"/>
                <w:bCs w:val="0"/>
                <w:sz w:val="20"/>
                <w:szCs w:val="20"/>
                <w:vertAlign w:val="baseline"/>
                <w:lang w:val="en-US" w:eastAsia="zh-CN"/>
              </w:rPr>
              <w:t>Note: PWS notifications in paging, direct indication, and system information in RRC connected mode is not supported.</w:t>
            </w:r>
          </w:p>
        </w:tc>
      </w:tr>
    </w:tbl>
    <w:p>
      <w:pPr>
        <w:pStyle w:val="60"/>
        <w:spacing w:after="0"/>
        <w:ind w:left="0" w:firstLine="0"/>
        <w:rPr>
          <w:rFonts w:hint="eastAsia" w:eastAsiaTheme="minorEastAsia"/>
          <w:b w:val="0"/>
          <w:bCs w:val="0"/>
          <w:sz w:val="20"/>
          <w:szCs w:val="20"/>
          <w:lang w:val="en-US" w:eastAsia="zh-CN"/>
        </w:rPr>
      </w:pPr>
      <w:r>
        <w:rPr>
          <w:rFonts w:hint="eastAsia" w:eastAsiaTheme="minorEastAsia"/>
          <w:b w:val="0"/>
          <w:bCs w:val="0"/>
          <w:sz w:val="20"/>
          <w:szCs w:val="20"/>
          <w:lang w:val="en-US" w:eastAsia="zh-CN"/>
        </w:rPr>
        <w:t xml:space="preserve">Based on the latest WID scope, RAN2 could confirm not to support PWS notification in paging, direct indication, and system information in RRC_CONNECTED in R19. However, </w:t>
      </w:r>
      <w:bookmarkStart w:id="3" w:name="OLE_LINK1"/>
      <w:r>
        <w:rPr>
          <w:rFonts w:hint="eastAsia" w:eastAsiaTheme="minorEastAsia"/>
          <w:b w:val="0"/>
          <w:bCs w:val="0"/>
          <w:sz w:val="20"/>
          <w:szCs w:val="20"/>
          <w:lang w:val="en-US" w:eastAsia="zh-CN"/>
        </w:rPr>
        <w:t>RRC dedicated signaling solution without RAN1 specification impact is still not excluded, and relying entirely on the network implementation to release UE to the RRC_IDLE for receiving the PWS message would lead to a longer reception latency of emergency message especially for disaster information. Therefore RRC dedicated signaling may be considered as a backup to support emergency message reception well in connected</w:t>
      </w:r>
      <w:bookmarkEnd w:id="3"/>
      <w:r>
        <w:rPr>
          <w:rFonts w:hint="eastAsia" w:eastAsiaTheme="minorEastAsia"/>
          <w:b w:val="0"/>
          <w:bCs w:val="0"/>
          <w:sz w:val="20"/>
          <w:szCs w:val="20"/>
          <w:lang w:val="en-US" w:eastAsia="zh-CN"/>
        </w:rPr>
        <w:t>.</w:t>
      </w:r>
    </w:p>
    <w:p>
      <w:pPr>
        <w:pStyle w:val="60"/>
        <w:spacing w:after="0"/>
        <w:ind w:left="0" w:firstLine="0"/>
        <w:rPr>
          <w:rFonts w:hint="eastAsia" w:eastAsiaTheme="minorEastAsia"/>
          <w:b/>
          <w:bCs/>
          <w:sz w:val="20"/>
          <w:szCs w:val="20"/>
          <w:lang w:val="en-US" w:eastAsia="zh-CN"/>
        </w:rPr>
      </w:pPr>
      <w:r>
        <w:rPr>
          <w:rFonts w:hint="eastAsia" w:eastAsiaTheme="minorEastAsia"/>
          <w:b/>
          <w:bCs/>
          <w:sz w:val="20"/>
          <w:szCs w:val="20"/>
          <w:lang w:val="en-US" w:eastAsia="zh-CN"/>
        </w:rPr>
        <w:t>Proposal 1: RAN2 confirms not to support PWS notification in paging, direct indication, and system information in RRC_CONNECTED in R19.</w:t>
      </w:r>
    </w:p>
    <w:p>
      <w:pPr>
        <w:pStyle w:val="60"/>
        <w:spacing w:after="0"/>
        <w:ind w:left="0" w:firstLine="0"/>
        <w:rPr>
          <w:rFonts w:hint="default" w:eastAsiaTheme="minorEastAsia"/>
          <w:b/>
          <w:bCs/>
          <w:sz w:val="20"/>
          <w:szCs w:val="20"/>
          <w:lang w:val="en-US" w:eastAsia="zh-CN"/>
        </w:rPr>
      </w:pPr>
      <w:r>
        <w:rPr>
          <w:rFonts w:hint="eastAsia" w:eastAsiaTheme="minorEastAsia"/>
          <w:b/>
          <w:bCs/>
          <w:sz w:val="20"/>
          <w:szCs w:val="20"/>
          <w:lang w:val="en-US" w:eastAsia="zh-CN"/>
        </w:rPr>
        <w:t>Proposal 2: Kindly suggest RAN2 to further discuss RRC dedicated signaling solution for PWS notification in RRC_CONNECTED.</w:t>
      </w:r>
    </w:p>
    <w:p>
      <w:pPr>
        <w:pStyle w:val="3"/>
        <w:bidi w:val="0"/>
        <w:rPr>
          <w:rFonts w:hint="default" w:eastAsiaTheme="minorEastAsia"/>
          <w:b/>
          <w:bCs/>
          <w:sz w:val="24"/>
          <w:szCs w:val="24"/>
          <w:u w:val="single"/>
          <w:lang w:val="en-US" w:eastAsia="zh-CN"/>
        </w:rPr>
      </w:pPr>
      <w:r>
        <w:rPr>
          <w:rFonts w:hint="eastAsia" w:eastAsia="宋体" w:cs="Arial"/>
          <w:b/>
          <w:bCs/>
          <w:sz w:val="24"/>
          <w:szCs w:val="24"/>
          <w:lang w:val="en-US" w:eastAsia="zh-CN"/>
        </w:rPr>
        <w:t xml:space="preserve"> SIB1-NB acquisition</w:t>
      </w:r>
    </w:p>
    <w:p>
      <w:pPr>
        <w:pStyle w:val="60"/>
        <w:spacing w:after="0"/>
        <w:ind w:left="0" w:firstLine="0"/>
        <w:rPr>
          <w:rFonts w:hint="eastAsia" w:eastAsia="宋体"/>
          <w:lang w:val="en-US" w:eastAsia="zh-CN"/>
        </w:rPr>
      </w:pPr>
      <w:r>
        <w:rPr>
          <w:rFonts w:hint="eastAsia" w:eastAsiaTheme="minorEastAsia"/>
          <w:b w:val="0"/>
          <w:bCs w:val="0"/>
          <w:sz w:val="20"/>
          <w:szCs w:val="20"/>
          <w:lang w:val="en-US" w:eastAsia="zh-CN"/>
        </w:rPr>
        <w:t xml:space="preserve">In RAN2 #128 meeting, we have agreed to </w:t>
      </w:r>
      <w:r>
        <w:t>extend the existing ETWS/CMAS notification RRC procedures for eMTC to NB-IoT</w:t>
      </w:r>
      <w:r>
        <w:rPr>
          <w:rFonts w:hint="eastAsia" w:eastAsia="宋体"/>
          <w:lang w:val="en-US" w:eastAsia="zh-CN"/>
        </w:rPr>
        <w:t xml:space="preserve">. For whether support SIB1-NB acquisition is FFS. </w:t>
      </w:r>
    </w:p>
    <w:p>
      <w:pPr>
        <w:pStyle w:val="60"/>
        <w:spacing w:after="0"/>
        <w:ind w:left="0" w:firstLine="0"/>
        <w:rPr>
          <w:rFonts w:hint="default" w:eastAsia="宋体"/>
          <w:lang w:val="en-US" w:eastAsia="zh-CN"/>
        </w:rPr>
      </w:pPr>
      <w:r>
        <w:rPr>
          <w:rFonts w:hint="eastAsia" w:eastAsia="宋体"/>
          <w:lang w:val="en-US" w:eastAsia="zh-CN"/>
        </w:rPr>
        <w:t xml:space="preserve">Per the existing LTE mechanism, the UE is not required to periodically check </w:t>
      </w:r>
      <w:r>
        <w:rPr>
          <w:rFonts w:hint="eastAsia" w:eastAsia="宋体"/>
          <w:i/>
          <w:iCs/>
          <w:lang w:val="en-US" w:eastAsia="zh-CN"/>
        </w:rPr>
        <w:t xml:space="preserve">schedulingInfoList </w:t>
      </w:r>
      <w:r>
        <w:rPr>
          <w:rFonts w:hint="eastAsia" w:eastAsia="宋体"/>
          <w:lang w:val="en-US" w:eastAsia="zh-CN"/>
        </w:rPr>
        <w:t xml:space="preserve">contained in </w:t>
      </w:r>
      <w:r>
        <w:rPr>
          <w:rFonts w:hint="eastAsia" w:eastAsia="宋体"/>
          <w:i/>
          <w:iCs/>
          <w:lang w:val="en-US" w:eastAsia="zh-CN"/>
        </w:rPr>
        <w:t>SystemInformationBlockType1</w:t>
      </w:r>
      <w:r>
        <w:rPr>
          <w:rFonts w:hint="eastAsia" w:eastAsia="宋体"/>
          <w:lang w:val="en-US" w:eastAsia="zh-CN"/>
        </w:rPr>
        <w:t xml:space="preserve">, however, if </w:t>
      </w:r>
      <w:r>
        <w:rPr>
          <w:i/>
        </w:rPr>
        <w:t>etws-Indication</w:t>
      </w:r>
      <w:r>
        <w:t xml:space="preserve"> </w:t>
      </w:r>
      <w:r>
        <w:rPr>
          <w:rFonts w:hint="eastAsia" w:eastAsia="宋体"/>
          <w:lang w:val="en-US" w:eastAsia="zh-CN"/>
        </w:rPr>
        <w:t xml:space="preserve">or </w:t>
      </w:r>
      <w:r>
        <w:rPr>
          <w:i/>
        </w:rPr>
        <w:t>cmas-Indication</w:t>
      </w:r>
      <w:r>
        <w:rPr>
          <w:rFonts w:hint="eastAsia" w:eastAsia="宋体"/>
          <w:i/>
          <w:lang w:val="en-US" w:eastAsia="zh-CN"/>
        </w:rPr>
        <w:t xml:space="preserve"> </w:t>
      </w:r>
      <w:r>
        <w:rPr>
          <w:rFonts w:hint="eastAsia" w:eastAsia="宋体"/>
          <w:i w:val="0"/>
          <w:iCs/>
          <w:lang w:val="en-US" w:eastAsia="zh-CN"/>
        </w:rPr>
        <w:t xml:space="preserve">is included in the </w:t>
      </w:r>
      <w:r>
        <w:rPr>
          <w:rFonts w:hint="eastAsia" w:eastAsia="宋体"/>
          <w:i/>
          <w:iCs/>
          <w:lang w:val="en-US" w:eastAsia="zh-CN"/>
        </w:rPr>
        <w:t xml:space="preserve">Paging </w:t>
      </w:r>
      <w:r>
        <w:rPr>
          <w:rFonts w:hint="eastAsia" w:eastAsia="宋体"/>
          <w:i w:val="0"/>
          <w:iCs/>
          <w:lang w:val="en-US" w:eastAsia="zh-CN"/>
        </w:rPr>
        <w:t xml:space="preserve">message, it would trigger the </w:t>
      </w:r>
      <w:r>
        <w:rPr>
          <w:rFonts w:hint="eastAsia" w:eastAsia="宋体"/>
          <w:i/>
          <w:iCs w:val="0"/>
          <w:lang w:val="en-US" w:eastAsia="zh-CN"/>
        </w:rPr>
        <w:t xml:space="preserve">SystemInformationBlockType1 </w:t>
      </w:r>
      <w:r>
        <w:rPr>
          <w:rFonts w:hint="eastAsia" w:eastAsia="宋体"/>
          <w:i w:val="0"/>
          <w:iCs/>
          <w:lang w:val="en-US" w:eastAsia="zh-CN"/>
        </w:rPr>
        <w:t xml:space="preserve">re-acquisition immediately, </w:t>
      </w:r>
      <w:r>
        <w:rPr>
          <w:rFonts w:hint="eastAsia" w:eastAsia="宋体"/>
          <w:lang w:val="en-US" w:eastAsia="zh-CN"/>
        </w:rPr>
        <w:t xml:space="preserve">i.e., without waiting until the next system information modification period boundary. Then UE read the </w:t>
      </w:r>
      <w:r>
        <w:rPr>
          <w:rFonts w:hint="eastAsia" w:eastAsia="宋体"/>
          <w:i/>
          <w:iCs/>
          <w:lang w:val="en-US" w:eastAsia="zh-CN"/>
        </w:rPr>
        <w:t xml:space="preserve">schedulingInfoList </w:t>
      </w:r>
      <w:r>
        <w:rPr>
          <w:rFonts w:hint="eastAsia" w:eastAsia="宋体"/>
          <w:lang w:val="en-US" w:eastAsia="zh-CN"/>
        </w:rPr>
        <w:t>to acquire the System Information Block carrying specific PWS message(</w:t>
      </w:r>
      <w:r>
        <w:rPr>
          <w:rFonts w:eastAsia="宋体"/>
          <w:i/>
          <w:sz w:val="20"/>
          <w:szCs w:val="20"/>
          <w:lang w:eastAsia="zh-CN" w:bidi="ar"/>
        </w:rPr>
        <w:t>SystemInformationBlockType10</w:t>
      </w:r>
      <w:r>
        <w:rPr>
          <w:rFonts w:hint="eastAsia" w:eastAsia="宋体"/>
          <w:i/>
          <w:sz w:val="20"/>
          <w:szCs w:val="20"/>
          <w:lang w:val="en-US" w:eastAsia="zh-CN" w:bidi="ar"/>
        </w:rPr>
        <w:t xml:space="preserve"> and </w:t>
      </w:r>
      <w:r>
        <w:rPr>
          <w:rFonts w:eastAsia="宋体"/>
          <w:i/>
          <w:sz w:val="20"/>
          <w:szCs w:val="20"/>
          <w:lang w:eastAsia="zh-CN" w:bidi="ar"/>
        </w:rPr>
        <w:t>SystemInformationBlockType11</w:t>
      </w:r>
      <w:r>
        <w:rPr>
          <w:rFonts w:hint="eastAsia" w:eastAsia="宋体"/>
          <w:i/>
          <w:sz w:val="20"/>
          <w:szCs w:val="20"/>
          <w:lang w:val="en-US" w:eastAsia="zh-CN" w:bidi="ar"/>
        </w:rPr>
        <w:t xml:space="preserve"> </w:t>
      </w:r>
      <w:r>
        <w:rPr>
          <w:rFonts w:hint="eastAsia" w:eastAsia="宋体"/>
          <w:i w:val="0"/>
          <w:iCs/>
          <w:sz w:val="20"/>
          <w:szCs w:val="20"/>
          <w:lang w:val="en-US" w:eastAsia="zh-CN" w:bidi="ar"/>
        </w:rPr>
        <w:t>for ETWS</w:t>
      </w:r>
      <w:r>
        <w:rPr>
          <w:rFonts w:hint="eastAsia" w:eastAsia="宋体"/>
          <w:i/>
          <w:sz w:val="20"/>
          <w:szCs w:val="20"/>
          <w:lang w:val="en-US" w:eastAsia="zh-CN" w:bidi="ar"/>
        </w:rPr>
        <w:t xml:space="preserve">, </w:t>
      </w:r>
      <w:r>
        <w:rPr>
          <w:rFonts w:eastAsia="宋体"/>
          <w:i/>
          <w:sz w:val="20"/>
          <w:szCs w:val="20"/>
          <w:lang w:eastAsia="zh-CN" w:bidi="ar"/>
        </w:rPr>
        <w:t>SystemInformationBlockType1</w:t>
      </w:r>
      <w:r>
        <w:rPr>
          <w:rFonts w:hint="eastAsia" w:eastAsia="宋体"/>
          <w:i/>
          <w:sz w:val="20"/>
          <w:szCs w:val="20"/>
          <w:lang w:val="en-US" w:eastAsia="zh-CN" w:bidi="ar"/>
        </w:rPr>
        <w:t xml:space="preserve">2 </w:t>
      </w:r>
      <w:r>
        <w:rPr>
          <w:rFonts w:hint="eastAsia" w:eastAsia="宋体"/>
          <w:i w:val="0"/>
          <w:iCs/>
          <w:sz w:val="20"/>
          <w:szCs w:val="20"/>
          <w:lang w:val="en-US" w:eastAsia="zh-CN" w:bidi="ar"/>
        </w:rPr>
        <w:t>for CMAS</w:t>
      </w:r>
      <w:r>
        <w:rPr>
          <w:rFonts w:hint="eastAsia" w:eastAsia="宋体"/>
          <w:lang w:val="en-US" w:eastAsia="zh-CN"/>
        </w:rPr>
        <w:t>) if present.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5"/>
              <w:numPr>
                <w:ilvl w:val="1"/>
                <w:numId w:val="0"/>
              </w:numPr>
              <w:ind w:left="142" w:leftChars="0"/>
            </w:pPr>
            <w:bookmarkStart w:id="4" w:name="_Toc46480416"/>
            <w:bookmarkStart w:id="5" w:name="_Toc36566390"/>
            <w:bookmarkStart w:id="6" w:name="_Toc20486712"/>
            <w:bookmarkStart w:id="7" w:name="_Toc36938814"/>
            <w:bookmarkStart w:id="8" w:name="_Toc37081793"/>
            <w:bookmarkStart w:id="9" w:name="_Toc36846161"/>
            <w:bookmarkStart w:id="10" w:name="_Toc29342004"/>
            <w:bookmarkStart w:id="11" w:name="_Toc36809797"/>
            <w:bookmarkStart w:id="12" w:name="_Toc46482884"/>
            <w:bookmarkStart w:id="13" w:name="_Toc46481650"/>
            <w:bookmarkStart w:id="14" w:name="_Toc185640039"/>
            <w:bookmarkStart w:id="15" w:name="_Toc29343143"/>
            <w:r>
              <w:t>5.2.1.4</w:t>
            </w:r>
            <w:r>
              <w:tab/>
            </w:r>
            <w:r>
              <w:t>Indication of ETWS notification</w:t>
            </w:r>
            <w:bookmarkEnd w:id="4"/>
            <w:bookmarkEnd w:id="5"/>
            <w:bookmarkEnd w:id="6"/>
            <w:bookmarkEnd w:id="7"/>
            <w:bookmarkEnd w:id="8"/>
            <w:bookmarkEnd w:id="9"/>
            <w:bookmarkEnd w:id="10"/>
            <w:bookmarkEnd w:id="11"/>
            <w:bookmarkEnd w:id="12"/>
            <w:bookmarkEnd w:id="13"/>
            <w:bookmarkEnd w:id="14"/>
            <w:bookmarkEnd w:id="15"/>
          </w:p>
          <w:p>
            <w:pPr>
              <w:pStyle w:val="60"/>
              <w:spacing w:after="0"/>
              <w:rPr>
                <w:rFonts w:hint="default" w:eastAsia="宋体"/>
                <w:i/>
                <w:iCs/>
                <w:vertAlign w:val="baseline"/>
                <w:lang w:val="en-US" w:eastAsia="zh-CN"/>
              </w:rPr>
            </w:pPr>
            <w:r>
              <w:rPr>
                <w:rFonts w:hint="eastAsia" w:eastAsia="宋体"/>
                <w:b/>
                <w:bCs/>
                <w:i/>
                <w:iCs/>
                <w:vertAlign w:val="baseline"/>
                <w:lang w:val="en-US" w:eastAsia="zh-CN"/>
              </w:rPr>
              <w:t>&lt;&lt;omitted&gt;&gt;</w:t>
            </w:r>
          </w:p>
          <w:p>
            <w:pPr>
              <w:pStyle w:val="114"/>
            </w:pPr>
            <w:r>
              <w:t>NOTE:</w:t>
            </w:r>
            <w:r>
              <w:tab/>
            </w:r>
            <w:r>
              <w:t xml:space="preserve">The UE is not required to periodically check </w:t>
            </w:r>
            <w:r>
              <w:rPr>
                <w:i/>
              </w:rPr>
              <w:t>schedulingInfoList</w:t>
            </w:r>
            <w:r>
              <w:t xml:space="preserve"> contained in </w:t>
            </w:r>
            <w:r>
              <w:rPr>
                <w:i/>
              </w:rPr>
              <w:t>SystemInformationBlockType1</w:t>
            </w:r>
            <w:r>
              <w:t xml:space="preserve">, but </w:t>
            </w:r>
            <w:r>
              <w:rPr>
                <w:i/>
              </w:rPr>
              <w:t>Paging</w:t>
            </w:r>
            <w:r>
              <w:t xml:space="preserve"> message including the </w:t>
            </w:r>
            <w:r>
              <w:rPr>
                <w:i/>
              </w:rPr>
              <w:t>etws-Indication</w:t>
            </w:r>
            <w:r>
              <w:t xml:space="preserve"> triggers the UE to re-acquire </w:t>
            </w:r>
            <w:r>
              <w:rPr>
                <w:i/>
              </w:rPr>
              <w:t>schedulingInfoList</w:t>
            </w:r>
            <w:r>
              <w:t xml:space="preserve"> contained in </w:t>
            </w:r>
            <w:r>
              <w:rPr>
                <w:i/>
              </w:rPr>
              <w:t>SystemInformationBlockType1</w:t>
            </w:r>
            <w:r>
              <w:t xml:space="preserve"> for scheduling changes for </w:t>
            </w:r>
            <w:r>
              <w:rPr>
                <w:i/>
              </w:rPr>
              <w:t>SystemInformationBlockType10</w:t>
            </w:r>
            <w:r>
              <w:t xml:space="preserve"> and </w:t>
            </w:r>
            <w:r>
              <w:rPr>
                <w:i/>
              </w:rPr>
              <w:t>SystemInformationBlockType11</w:t>
            </w:r>
            <w:r>
              <w:t xml:space="preserve">. The UE may or may not receive a </w:t>
            </w:r>
            <w:r>
              <w:rPr>
                <w:i/>
              </w:rPr>
              <w:t>Paging</w:t>
            </w:r>
            <w:r>
              <w:t xml:space="preserve"> message including the </w:t>
            </w:r>
            <w:r>
              <w:rPr>
                <w:i/>
              </w:rPr>
              <w:t>etws-Indication</w:t>
            </w:r>
            <w:r>
              <w:t xml:space="preserve"> and/or </w:t>
            </w:r>
            <w:r>
              <w:rPr>
                <w:i/>
              </w:rPr>
              <w:t>systemInfoModification</w:t>
            </w:r>
            <w:r>
              <w:t xml:space="preserve"> when ETWS is no longer scheduled.</w:t>
            </w:r>
          </w:p>
          <w:p>
            <w:pPr>
              <w:pStyle w:val="60"/>
              <w:spacing w:after="0"/>
              <w:rPr>
                <w:rFonts w:hint="default" w:eastAsia="宋体"/>
                <w:b/>
                <w:bCs/>
                <w:i/>
                <w:iCs/>
                <w:vertAlign w:val="baseline"/>
                <w:lang w:val="en-US" w:eastAsia="zh-CN"/>
              </w:rPr>
            </w:pPr>
            <w:r>
              <w:rPr>
                <w:rFonts w:hint="eastAsia" w:eastAsia="宋体"/>
                <w:b/>
                <w:bCs/>
                <w:i/>
                <w:iCs/>
                <w:vertAlign w:val="baseline"/>
                <w:lang w:val="en-US" w:eastAsia="zh-CN"/>
              </w:rPr>
              <w:t>&lt;&lt;omitted&gt;&gt;</w:t>
            </w:r>
          </w:p>
          <w:p>
            <w:pPr>
              <w:pStyle w:val="60"/>
              <w:spacing w:after="0"/>
              <w:rPr>
                <w:rFonts w:hint="default" w:eastAsia="宋体"/>
                <w:vertAlign w:val="baseline"/>
                <w:lang w:val="en-US" w:eastAsia="zh-CN"/>
              </w:rPr>
            </w:pPr>
          </w:p>
          <w:p>
            <w:pPr>
              <w:pStyle w:val="5"/>
              <w:numPr>
                <w:ilvl w:val="1"/>
                <w:numId w:val="0"/>
              </w:numPr>
              <w:ind w:left="142" w:leftChars="0"/>
            </w:pPr>
            <w:bookmarkStart w:id="16" w:name="_Toc46480417"/>
            <w:bookmarkStart w:id="17" w:name="_Toc36809798"/>
            <w:bookmarkStart w:id="18" w:name="_Toc36938815"/>
            <w:bookmarkStart w:id="19" w:name="_Toc46482885"/>
            <w:bookmarkStart w:id="20" w:name="_Toc29342005"/>
            <w:bookmarkStart w:id="21" w:name="_Toc29343144"/>
            <w:bookmarkStart w:id="22" w:name="_Toc36566391"/>
            <w:bookmarkStart w:id="23" w:name="_Toc185640040"/>
            <w:bookmarkStart w:id="24" w:name="_Toc46481651"/>
            <w:bookmarkStart w:id="25" w:name="_Toc20486713"/>
            <w:bookmarkStart w:id="26" w:name="_Toc36846162"/>
            <w:bookmarkStart w:id="27" w:name="_Toc37081794"/>
            <w:r>
              <w:t>5.2.1.5</w:t>
            </w:r>
            <w:r>
              <w:tab/>
            </w:r>
            <w:r>
              <w:t>Indication of CMAS notification</w:t>
            </w:r>
            <w:bookmarkEnd w:id="16"/>
            <w:bookmarkEnd w:id="17"/>
            <w:bookmarkEnd w:id="18"/>
            <w:bookmarkEnd w:id="19"/>
            <w:bookmarkEnd w:id="20"/>
            <w:bookmarkEnd w:id="21"/>
            <w:bookmarkEnd w:id="22"/>
            <w:bookmarkEnd w:id="23"/>
            <w:bookmarkEnd w:id="24"/>
            <w:bookmarkEnd w:id="25"/>
            <w:bookmarkEnd w:id="26"/>
            <w:bookmarkEnd w:id="27"/>
          </w:p>
          <w:p>
            <w:pPr>
              <w:pStyle w:val="60"/>
              <w:spacing w:after="0"/>
              <w:rPr>
                <w:i/>
                <w:iCs/>
              </w:rPr>
            </w:pPr>
            <w:r>
              <w:rPr>
                <w:rFonts w:hint="eastAsia" w:eastAsia="宋体"/>
                <w:b/>
                <w:bCs/>
                <w:i/>
                <w:iCs/>
                <w:vertAlign w:val="baseline"/>
                <w:lang w:val="en-US" w:eastAsia="zh-CN"/>
              </w:rPr>
              <w:t>&lt;&lt;omitted&gt;&gt;</w:t>
            </w:r>
          </w:p>
          <w:p>
            <w:pPr>
              <w:pStyle w:val="114"/>
            </w:pPr>
            <w:r>
              <w:t>NOTE:</w:t>
            </w:r>
            <w:r>
              <w:tab/>
            </w:r>
            <w:r>
              <w:t xml:space="preserve">The UE is not required to periodically check </w:t>
            </w:r>
            <w:r>
              <w:rPr>
                <w:i/>
              </w:rPr>
              <w:t>schedulingInfoList</w:t>
            </w:r>
            <w:r>
              <w:t xml:space="preserve"> contained in </w:t>
            </w:r>
            <w:r>
              <w:rPr>
                <w:i/>
              </w:rPr>
              <w:t>SystemInformationBlockType1</w:t>
            </w:r>
            <w:r>
              <w:t xml:space="preserve">, but </w:t>
            </w:r>
            <w:r>
              <w:rPr>
                <w:i/>
              </w:rPr>
              <w:t>Paging</w:t>
            </w:r>
            <w:r>
              <w:t xml:space="preserve"> message including the </w:t>
            </w:r>
            <w:r>
              <w:rPr>
                <w:i/>
              </w:rPr>
              <w:t>cmas-Indication</w:t>
            </w:r>
            <w:r>
              <w:t xml:space="preserve"> triggers the UE to re-acquire </w:t>
            </w:r>
            <w:r>
              <w:rPr>
                <w:i/>
              </w:rPr>
              <w:t>schedulingInfoList</w:t>
            </w:r>
            <w:r>
              <w:t xml:space="preserve"> contained in </w:t>
            </w:r>
            <w:r>
              <w:rPr>
                <w:i/>
              </w:rPr>
              <w:t>SystemInformationBlockType1</w:t>
            </w:r>
            <w:r>
              <w:t xml:space="preserve"> for scheduling changes for </w:t>
            </w:r>
            <w:r>
              <w:rPr>
                <w:i/>
              </w:rPr>
              <w:t>SystemInformationBlockType12</w:t>
            </w:r>
            <w:r>
              <w:t xml:space="preserve">. The UE may or may not receive a </w:t>
            </w:r>
            <w:r>
              <w:rPr>
                <w:i/>
              </w:rPr>
              <w:t>Paging</w:t>
            </w:r>
            <w:r>
              <w:t xml:space="preserve"> message including the </w:t>
            </w:r>
            <w:r>
              <w:rPr>
                <w:i/>
              </w:rPr>
              <w:t>cmas-Indication</w:t>
            </w:r>
            <w:r>
              <w:t xml:space="preserve"> and/or </w:t>
            </w:r>
            <w:r>
              <w:rPr>
                <w:i/>
              </w:rPr>
              <w:t>systemInfoModification</w:t>
            </w:r>
            <w:r>
              <w:t xml:space="preserve"> when </w:t>
            </w:r>
            <w:r>
              <w:rPr>
                <w:i/>
              </w:rPr>
              <w:t>SystemInformationBlockType12</w:t>
            </w:r>
            <w:r>
              <w:t xml:space="preserve"> is no longer scheduled.</w:t>
            </w:r>
          </w:p>
          <w:p>
            <w:pPr>
              <w:pStyle w:val="60"/>
              <w:spacing w:after="0"/>
              <w:rPr>
                <w:rFonts w:hint="default" w:eastAsia="宋体"/>
                <w:vertAlign w:val="baseline"/>
                <w:lang w:val="en-US" w:eastAsia="zh-CN"/>
              </w:rPr>
            </w:pPr>
            <w:r>
              <w:rPr>
                <w:rFonts w:hint="eastAsia" w:eastAsia="宋体"/>
                <w:b/>
                <w:bCs/>
                <w:i/>
                <w:iCs/>
                <w:vertAlign w:val="baseline"/>
                <w:lang w:val="en-US" w:eastAsia="zh-CN"/>
              </w:rPr>
              <w:t>&lt;&lt;omitted&gt;&gt;</w:t>
            </w:r>
          </w:p>
        </w:tc>
      </w:tr>
    </w:tbl>
    <w:p>
      <w:pPr>
        <w:pStyle w:val="60"/>
        <w:spacing w:after="0"/>
        <w:ind w:left="0" w:firstLine="0"/>
        <w:rPr>
          <w:rFonts w:hint="default" w:eastAsia="宋体"/>
          <w:lang w:val="en-US" w:eastAsia="zh-CN"/>
        </w:rPr>
      </w:pP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5"/>
              <w:numPr>
                <w:ilvl w:val="1"/>
                <w:numId w:val="0"/>
              </w:numPr>
              <w:ind w:left="142" w:leftChars="0"/>
              <w:rPr>
                <w:rFonts w:hint="eastAsia" w:eastAsia="宋体"/>
                <w:b/>
                <w:bCs/>
                <w:vertAlign w:val="baseline"/>
                <w:lang w:val="en-US" w:eastAsia="zh-CN"/>
              </w:rPr>
            </w:pPr>
            <w:bookmarkStart w:id="28" w:name="_Toc46480473"/>
            <w:bookmarkStart w:id="29" w:name="_Toc36846216"/>
            <w:bookmarkStart w:id="30" w:name="_Toc36809852"/>
            <w:bookmarkStart w:id="31" w:name="_Toc29342056"/>
            <w:bookmarkStart w:id="32" w:name="_Toc36566443"/>
            <w:bookmarkStart w:id="33" w:name="_Toc20486764"/>
            <w:bookmarkStart w:id="34" w:name="_Toc36938869"/>
            <w:bookmarkStart w:id="35" w:name="_Toc46482941"/>
            <w:bookmarkStart w:id="36" w:name="_Toc29343195"/>
            <w:bookmarkStart w:id="37" w:name="_Toc37081848"/>
            <w:bookmarkStart w:id="38" w:name="_Toc46481707"/>
            <w:bookmarkStart w:id="39" w:name="_Toc185640100"/>
            <w:r>
              <w:t>5.3.2.3</w:t>
            </w:r>
            <w:r>
              <w:tab/>
            </w:r>
            <w:r>
              <w:t xml:space="preserve">Reception of the </w:t>
            </w:r>
            <w:r>
              <w:rPr>
                <w:i/>
              </w:rPr>
              <w:t>Paging</w:t>
            </w:r>
            <w:r>
              <w:t xml:space="preserve"> message by the UE</w:t>
            </w:r>
            <w:bookmarkEnd w:id="28"/>
            <w:bookmarkEnd w:id="29"/>
            <w:bookmarkEnd w:id="30"/>
            <w:bookmarkEnd w:id="31"/>
            <w:bookmarkEnd w:id="32"/>
            <w:bookmarkEnd w:id="33"/>
            <w:bookmarkEnd w:id="34"/>
            <w:bookmarkEnd w:id="35"/>
            <w:bookmarkEnd w:id="36"/>
            <w:bookmarkEnd w:id="37"/>
            <w:bookmarkEnd w:id="38"/>
            <w:bookmarkEnd w:id="39"/>
          </w:p>
          <w:p>
            <w:pPr>
              <w:pStyle w:val="60"/>
              <w:spacing w:after="0"/>
              <w:rPr>
                <w:rFonts w:hint="default" w:eastAsia="宋体"/>
                <w:b/>
                <w:bCs/>
                <w:i/>
                <w:iCs/>
                <w:vertAlign w:val="baseline"/>
                <w:lang w:val="en-US" w:eastAsia="zh-CN"/>
              </w:rPr>
            </w:pPr>
            <w:r>
              <w:rPr>
                <w:rFonts w:hint="eastAsia" w:eastAsia="宋体"/>
                <w:b/>
                <w:bCs/>
                <w:i/>
                <w:iCs/>
                <w:vertAlign w:val="baseline"/>
                <w:lang w:val="en-US" w:eastAsia="zh-CN"/>
              </w:rPr>
              <w:t>&lt;&lt;omitted&gt;&gt;</w:t>
            </w:r>
          </w:p>
          <w:p>
            <w:pPr>
              <w:pStyle w:val="60"/>
              <w:rPr>
                <w:highlight w:val="yellow"/>
              </w:rPr>
            </w:pPr>
            <w:r>
              <w:rPr>
                <w:highlight w:val="yellow"/>
              </w:rPr>
              <w:t xml:space="preserve">if the </w:t>
            </w:r>
            <w:r>
              <w:rPr>
                <w:i/>
                <w:highlight w:val="yellow"/>
              </w:rPr>
              <w:t>etws-Indication</w:t>
            </w:r>
            <w:r>
              <w:rPr>
                <w:highlight w:val="yellow"/>
              </w:rPr>
              <w:t xml:space="preserve"> is included and the UE is ETWS capable:</w:t>
            </w:r>
          </w:p>
          <w:p>
            <w:pPr>
              <w:pStyle w:val="61"/>
              <w:spacing w:after="137"/>
              <w:rPr>
                <w:highlight w:val="yellow"/>
              </w:rPr>
            </w:pPr>
            <w:r>
              <w:rPr>
                <w:highlight w:val="yellow"/>
              </w:rPr>
              <w:t>2&gt;</w:t>
            </w:r>
            <w:r>
              <w:rPr>
                <w:highlight w:val="yellow"/>
              </w:rPr>
              <w:tab/>
            </w:r>
            <w:r>
              <w:rPr>
                <w:highlight w:val="yellow"/>
              </w:rPr>
              <w:t xml:space="preserve">re-acquire </w:t>
            </w:r>
            <w:r>
              <w:rPr>
                <w:i/>
                <w:iCs/>
                <w:highlight w:val="yellow"/>
              </w:rPr>
              <w:t>SystemInformationBlockType1</w:t>
            </w:r>
            <w:r>
              <w:rPr>
                <w:highlight w:val="yellow"/>
              </w:rPr>
              <w:t xml:space="preserve"> immediately, i.e., without waiting until the next system information modification period boundary;</w:t>
            </w:r>
          </w:p>
          <w:p>
            <w:pPr>
              <w:pStyle w:val="61"/>
            </w:pPr>
            <w:r>
              <w:t>2&gt;</w:t>
            </w:r>
            <w:r>
              <w:tab/>
            </w:r>
            <w:r>
              <w:t xml:space="preserve">if the </w:t>
            </w:r>
            <w:r>
              <w:rPr>
                <w:i/>
              </w:rPr>
              <w:t>schedulingInfoList</w:t>
            </w:r>
            <w:r>
              <w:t xml:space="preserve"> indicates that </w:t>
            </w:r>
            <w:r>
              <w:rPr>
                <w:i/>
              </w:rPr>
              <w:t>SystemInformationBlockType10</w:t>
            </w:r>
            <w:r>
              <w:t xml:space="preserve"> is present:</w:t>
            </w:r>
          </w:p>
          <w:p>
            <w:pPr>
              <w:pStyle w:val="62"/>
            </w:pPr>
            <w:r>
              <w:t>3&gt;</w:t>
            </w:r>
            <w:r>
              <w:tab/>
            </w:r>
            <w:r>
              <w:t xml:space="preserve">acquire </w:t>
            </w:r>
            <w:r>
              <w:rPr>
                <w:i/>
              </w:rPr>
              <w:t>SystemInformationBlockType10</w:t>
            </w:r>
            <w:r>
              <w:t>;</w:t>
            </w:r>
          </w:p>
          <w:p>
            <w:pPr>
              <w:pStyle w:val="114"/>
            </w:pPr>
            <w:r>
              <w:t>NOTE 2:</w:t>
            </w:r>
            <w:r>
              <w:tab/>
            </w:r>
            <w:r>
              <w:t xml:space="preserve">If the UE is in CE, it is up to UE implementation when to start acquiring </w:t>
            </w:r>
            <w:r>
              <w:rPr>
                <w:i/>
              </w:rPr>
              <w:t>SystemInformationBlockType10</w:t>
            </w:r>
            <w:r>
              <w:t>.</w:t>
            </w:r>
          </w:p>
          <w:p>
            <w:pPr>
              <w:pStyle w:val="61"/>
              <w:spacing w:after="137"/>
            </w:pPr>
            <w:r>
              <w:t>2&gt;</w:t>
            </w:r>
            <w:r>
              <w:tab/>
            </w:r>
            <w:r>
              <w:t xml:space="preserve">if the </w:t>
            </w:r>
            <w:r>
              <w:rPr>
                <w:i/>
                <w:iCs/>
              </w:rPr>
              <w:t>schedulingInfoList</w:t>
            </w:r>
            <w:r>
              <w:t xml:space="preserve"> indicates that </w:t>
            </w:r>
            <w:r>
              <w:rPr>
                <w:i/>
                <w:iCs/>
              </w:rPr>
              <w:t>SystemInformationBlockType11</w:t>
            </w:r>
            <w:r>
              <w:t xml:space="preserve"> is present:</w:t>
            </w:r>
          </w:p>
          <w:p>
            <w:pPr>
              <w:pStyle w:val="62"/>
            </w:pPr>
            <w:r>
              <w:t>3&gt;</w:t>
            </w:r>
            <w:r>
              <w:tab/>
            </w:r>
            <w:r>
              <w:t xml:space="preserve">acquire </w:t>
            </w:r>
            <w:r>
              <w:rPr>
                <w:i/>
              </w:rPr>
              <w:t>SystemInformationBlockType11</w:t>
            </w:r>
            <w:r>
              <w:t>;</w:t>
            </w:r>
          </w:p>
          <w:p>
            <w:pPr>
              <w:pStyle w:val="60"/>
              <w:rPr>
                <w:highlight w:val="yellow"/>
              </w:rPr>
            </w:pPr>
            <w:r>
              <w:rPr>
                <w:highlight w:val="yellow"/>
              </w:rPr>
              <w:t>1&gt;</w:t>
            </w:r>
            <w:r>
              <w:rPr>
                <w:highlight w:val="yellow"/>
              </w:rPr>
              <w:tab/>
            </w:r>
            <w:r>
              <w:rPr>
                <w:highlight w:val="yellow"/>
              </w:rPr>
              <w:t xml:space="preserve">if the </w:t>
            </w:r>
            <w:r>
              <w:rPr>
                <w:i/>
                <w:highlight w:val="yellow"/>
              </w:rPr>
              <w:t>cmas-Indication</w:t>
            </w:r>
            <w:r>
              <w:rPr>
                <w:highlight w:val="yellow"/>
              </w:rPr>
              <w:t xml:space="preserve"> is included and the UE is CMAS capable:</w:t>
            </w:r>
          </w:p>
          <w:p>
            <w:pPr>
              <w:pStyle w:val="61"/>
              <w:spacing w:after="137"/>
              <w:rPr>
                <w:highlight w:val="yellow"/>
              </w:rPr>
            </w:pPr>
            <w:r>
              <w:rPr>
                <w:highlight w:val="yellow"/>
              </w:rPr>
              <w:t>2&gt;</w:t>
            </w:r>
            <w:r>
              <w:rPr>
                <w:highlight w:val="yellow"/>
              </w:rPr>
              <w:tab/>
            </w:r>
            <w:r>
              <w:rPr>
                <w:highlight w:val="yellow"/>
              </w:rPr>
              <w:t xml:space="preserve">re-acquire </w:t>
            </w:r>
            <w:r>
              <w:rPr>
                <w:i/>
                <w:iCs/>
                <w:highlight w:val="yellow"/>
              </w:rPr>
              <w:t>SystemInformationBlockType1</w:t>
            </w:r>
            <w:r>
              <w:rPr>
                <w:highlight w:val="yellow"/>
              </w:rPr>
              <w:t xml:space="preserve"> immediately, i.e., without waiting until the next system information modification period boundary as specified in 5.2.1.5;</w:t>
            </w:r>
          </w:p>
          <w:p>
            <w:pPr>
              <w:pStyle w:val="61"/>
            </w:pPr>
            <w:r>
              <w:t>2&gt;</w:t>
            </w:r>
            <w:r>
              <w:tab/>
            </w:r>
            <w:r>
              <w:t xml:space="preserve">if the </w:t>
            </w:r>
            <w:r>
              <w:rPr>
                <w:i/>
              </w:rPr>
              <w:t>schedulingInfoList</w:t>
            </w:r>
            <w:r>
              <w:t xml:space="preserve"> indicates that </w:t>
            </w:r>
            <w:r>
              <w:rPr>
                <w:i/>
              </w:rPr>
              <w:t>SystemInformationBlockType12</w:t>
            </w:r>
            <w:r>
              <w:t xml:space="preserve"> is present:</w:t>
            </w:r>
          </w:p>
          <w:p>
            <w:pPr>
              <w:pStyle w:val="62"/>
            </w:pPr>
            <w:r>
              <w:t>3&gt;</w:t>
            </w:r>
            <w:r>
              <w:tab/>
            </w:r>
            <w:r>
              <w:t xml:space="preserve">acquire </w:t>
            </w:r>
            <w:r>
              <w:rPr>
                <w:i/>
              </w:rPr>
              <w:t>SystemInformationBlockType12</w:t>
            </w:r>
            <w:r>
              <w:t>;</w:t>
            </w:r>
          </w:p>
          <w:p>
            <w:pPr>
              <w:pStyle w:val="60"/>
              <w:spacing w:after="0"/>
              <w:rPr>
                <w:rFonts w:hint="default" w:eastAsia="宋体"/>
                <w:vertAlign w:val="baseline"/>
                <w:lang w:val="en-US" w:eastAsia="zh-CN"/>
              </w:rPr>
            </w:pPr>
            <w:r>
              <w:rPr>
                <w:rFonts w:hint="eastAsia" w:eastAsia="宋体"/>
                <w:b/>
                <w:bCs/>
                <w:i/>
                <w:iCs/>
                <w:vertAlign w:val="baseline"/>
                <w:lang w:val="en-US" w:eastAsia="zh-CN"/>
              </w:rPr>
              <w:t>&lt;&lt;omitted&gt;&gt;</w:t>
            </w:r>
          </w:p>
        </w:tc>
      </w:tr>
    </w:tbl>
    <w:p>
      <w:pPr>
        <w:pStyle w:val="60"/>
        <w:spacing w:after="0"/>
        <w:ind w:left="0" w:firstLine="0"/>
        <w:rPr>
          <w:rFonts w:hint="eastAsia" w:eastAsiaTheme="minorEastAsia"/>
          <w:b w:val="0"/>
          <w:bCs w:val="0"/>
          <w:sz w:val="20"/>
          <w:szCs w:val="20"/>
          <w:lang w:val="en-US" w:eastAsia="zh-CN"/>
        </w:rPr>
      </w:pPr>
      <w:r>
        <w:rPr>
          <w:rFonts w:hint="eastAsia" w:eastAsia="宋体"/>
          <w:lang w:val="en-US" w:eastAsia="zh-CN"/>
        </w:rPr>
        <w:t>Some companies provide enhancements solutions that network broadcasts early PWS scheduling message even though there is no PWS notification considering the latency. However, such enhancements may introduce some additional signaling overhead. Therefore, we could just extend the existing RRC procedure to NB-IoT NTN for SIB1-NB acquisition, and no further enhancement is needed.</w:t>
      </w:r>
    </w:p>
    <w:p>
      <w:pPr>
        <w:pStyle w:val="60"/>
        <w:spacing w:after="0"/>
        <w:ind w:left="0" w:firstLine="0"/>
        <w:rPr>
          <w:rFonts w:hint="default" w:eastAsia="宋体"/>
          <w:b/>
          <w:bCs/>
          <w:lang w:val="en-US" w:eastAsia="zh-CN"/>
        </w:rPr>
      </w:pPr>
      <w:r>
        <w:rPr>
          <w:rFonts w:hint="eastAsia" w:eastAsia="宋体"/>
          <w:b/>
          <w:bCs/>
          <w:lang w:val="en-US" w:eastAsia="zh-CN"/>
        </w:rPr>
        <w:t>Proposal 3: We could just extend the existing mechanism to NB-IoT NTN for SIB1-NB acquisition, and no further enhancement is needed.</w:t>
      </w:r>
    </w:p>
    <w:p>
      <w:pPr>
        <w:pStyle w:val="3"/>
        <w:bidi w:val="0"/>
        <w:rPr>
          <w:rFonts w:hint="default" w:eastAsiaTheme="minorEastAsia"/>
          <w:b/>
          <w:bCs/>
          <w:sz w:val="24"/>
          <w:szCs w:val="24"/>
          <w:u w:val="single"/>
          <w:lang w:val="en-US" w:eastAsia="zh-CN"/>
        </w:rPr>
      </w:pPr>
      <w:r>
        <w:rPr>
          <w:rFonts w:hint="eastAsia" w:eastAsia="宋体" w:cs="Arial"/>
          <w:b/>
          <w:bCs/>
          <w:sz w:val="24"/>
          <w:szCs w:val="24"/>
          <w:lang w:val="en-US" w:eastAsia="zh-CN"/>
        </w:rPr>
        <w:t xml:space="preserve"> UE capability</w:t>
      </w:r>
    </w:p>
    <w:p>
      <w:pPr>
        <w:pStyle w:val="60"/>
        <w:spacing w:after="0"/>
        <w:ind w:left="0" w:firstLine="0"/>
        <w:rPr>
          <w:rFonts w:hint="eastAsia" w:eastAsiaTheme="minorEastAsia"/>
          <w:b w:val="0"/>
          <w:bCs w:val="0"/>
          <w:sz w:val="20"/>
          <w:szCs w:val="20"/>
          <w:lang w:val="en-US" w:eastAsia="zh-CN"/>
        </w:rPr>
      </w:pPr>
      <w:r>
        <w:rPr>
          <w:rFonts w:hint="eastAsia" w:eastAsiaTheme="minorEastAsia"/>
          <w:b w:val="0"/>
          <w:bCs w:val="0"/>
          <w:sz w:val="20"/>
          <w:szCs w:val="20"/>
          <w:lang w:val="en-US" w:eastAsia="zh-CN"/>
        </w:rPr>
        <w:t>In existing TS 36.306, the PWS feature is optional to support without UE radio access capability.</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3"/>
              <w:numPr>
                <w:ilvl w:val="1"/>
                <w:numId w:val="0"/>
              </w:numPr>
              <w:ind w:left="142" w:leftChars="0"/>
            </w:pPr>
            <w:bookmarkStart w:id="40" w:name="_Toc29241625"/>
            <w:bookmarkStart w:id="41" w:name="_Toc52535129"/>
            <w:bookmarkStart w:id="42" w:name="_Toc37237037"/>
            <w:bookmarkStart w:id="43" w:name="_Toc46494235"/>
            <w:bookmarkStart w:id="44" w:name="_Toc37153094"/>
            <w:bookmarkStart w:id="45" w:name="_Toc185280364"/>
            <w:r>
              <w:t>6.2</w:t>
            </w:r>
            <w:r>
              <w:tab/>
            </w:r>
            <w:r>
              <w:t>PWS features</w:t>
            </w:r>
            <w:bookmarkEnd w:id="40"/>
            <w:bookmarkEnd w:id="41"/>
            <w:bookmarkEnd w:id="42"/>
            <w:bookmarkEnd w:id="43"/>
            <w:bookmarkEnd w:id="44"/>
            <w:bookmarkEnd w:id="45"/>
          </w:p>
          <w:p>
            <w:pPr>
              <w:pStyle w:val="4"/>
              <w:numPr>
                <w:ilvl w:val="1"/>
                <w:numId w:val="0"/>
              </w:numPr>
              <w:ind w:left="142" w:leftChars="0"/>
            </w:pPr>
            <w:bookmarkStart w:id="46" w:name="_Toc37153095"/>
            <w:bookmarkStart w:id="47" w:name="_Toc185280365"/>
            <w:bookmarkStart w:id="48" w:name="_Toc37237038"/>
            <w:bookmarkStart w:id="49" w:name="_Toc52535130"/>
            <w:bookmarkStart w:id="50" w:name="_Toc46494236"/>
            <w:bookmarkStart w:id="51" w:name="_Toc29241626"/>
            <w:r>
              <w:t>6.2.1</w:t>
            </w:r>
            <w:r>
              <w:tab/>
            </w:r>
            <w:r>
              <w:t>ETWS</w:t>
            </w:r>
            <w:bookmarkEnd w:id="46"/>
            <w:bookmarkEnd w:id="47"/>
            <w:bookmarkEnd w:id="48"/>
            <w:bookmarkEnd w:id="49"/>
            <w:bookmarkEnd w:id="50"/>
            <w:bookmarkEnd w:id="51"/>
          </w:p>
          <w:p>
            <w:r>
              <w:t>It is optional for UE to support ETWS reception as specified in TS 36.331 [5].</w:t>
            </w:r>
          </w:p>
          <w:p>
            <w:pPr>
              <w:pStyle w:val="4"/>
              <w:numPr>
                <w:ilvl w:val="1"/>
                <w:numId w:val="0"/>
              </w:numPr>
              <w:ind w:left="142" w:leftChars="0"/>
            </w:pPr>
            <w:bookmarkStart w:id="52" w:name="_Toc29241627"/>
            <w:bookmarkStart w:id="53" w:name="_Toc37153096"/>
            <w:bookmarkStart w:id="54" w:name="_Toc46494237"/>
            <w:bookmarkStart w:id="55" w:name="_Toc52535131"/>
            <w:bookmarkStart w:id="56" w:name="_Toc37237039"/>
            <w:bookmarkStart w:id="57" w:name="_Toc185280366"/>
            <w:r>
              <w:t>6.2.2</w:t>
            </w:r>
            <w:r>
              <w:tab/>
            </w:r>
            <w:r>
              <w:t>CMAS</w:t>
            </w:r>
            <w:bookmarkEnd w:id="52"/>
            <w:bookmarkEnd w:id="53"/>
            <w:bookmarkEnd w:id="54"/>
            <w:bookmarkEnd w:id="55"/>
            <w:bookmarkEnd w:id="56"/>
            <w:bookmarkEnd w:id="57"/>
          </w:p>
          <w:p>
            <w:r>
              <w:t>It is optional for UE to support CMAS reception as specified in TS 36.331 [5]. It is optional for a CMAS-capable UE to support Geofencing information (</w:t>
            </w:r>
            <w:r>
              <w:rPr>
                <w:i/>
              </w:rPr>
              <w:t>warningAreaCoordinates-r15</w:t>
            </w:r>
            <w:r>
              <w:t>) as specified in TS 36.331 [5].</w:t>
            </w:r>
          </w:p>
          <w:p>
            <w:pPr>
              <w:pStyle w:val="4"/>
              <w:numPr>
                <w:ilvl w:val="1"/>
                <w:numId w:val="0"/>
              </w:numPr>
              <w:ind w:left="142" w:leftChars="0"/>
              <w:rPr>
                <w:lang w:eastAsia="zh-CN"/>
              </w:rPr>
            </w:pPr>
            <w:bookmarkStart w:id="58" w:name="_Toc46494238"/>
            <w:bookmarkStart w:id="59" w:name="_Toc29241628"/>
            <w:bookmarkStart w:id="60" w:name="_Toc37153097"/>
            <w:bookmarkStart w:id="61" w:name="_Toc37237040"/>
            <w:bookmarkStart w:id="62" w:name="_Toc185280367"/>
            <w:bookmarkStart w:id="63" w:name="_Toc52535132"/>
            <w:r>
              <w:t>6.2.</w:t>
            </w:r>
            <w:r>
              <w:rPr>
                <w:lang w:eastAsia="zh-CN"/>
              </w:rPr>
              <w:t>3</w:t>
            </w:r>
            <w:r>
              <w:tab/>
            </w:r>
            <w:r>
              <w:rPr>
                <w:lang w:eastAsia="zh-CN"/>
              </w:rPr>
              <w:t>KPAS</w:t>
            </w:r>
            <w:bookmarkEnd w:id="58"/>
            <w:bookmarkEnd w:id="59"/>
            <w:bookmarkEnd w:id="60"/>
            <w:bookmarkEnd w:id="61"/>
            <w:bookmarkEnd w:id="62"/>
            <w:bookmarkEnd w:id="63"/>
          </w:p>
          <w:p>
            <w:pPr>
              <w:rPr>
                <w:lang w:eastAsia="zh-CN"/>
              </w:rPr>
            </w:pPr>
            <w:r>
              <w:rPr>
                <w:lang w:eastAsia="zh-CN"/>
              </w:rPr>
              <w:t>It is optional for UE to support KPAS reception as specified in TS 36.331 [5]. The Korean Public Alert System (KPAS) uses the same AS mechanisms as defined for CMAS. Therefore a KPAS-capable UE shall support all behaviour that is included in TS 36.331 [5] and TS 36.304 [14] for a CMAS-capable UE.</w:t>
            </w:r>
          </w:p>
          <w:p>
            <w:pPr>
              <w:pStyle w:val="4"/>
              <w:numPr>
                <w:ilvl w:val="1"/>
                <w:numId w:val="0"/>
              </w:numPr>
              <w:ind w:left="142" w:leftChars="0"/>
              <w:rPr>
                <w:lang w:eastAsia="zh-CN"/>
              </w:rPr>
            </w:pPr>
            <w:bookmarkStart w:id="64" w:name="_Toc37237041"/>
            <w:bookmarkStart w:id="65" w:name="_Toc37153098"/>
            <w:bookmarkStart w:id="66" w:name="_Toc52535133"/>
            <w:bookmarkStart w:id="67" w:name="_Toc46494239"/>
            <w:bookmarkStart w:id="68" w:name="_Toc185280368"/>
            <w:bookmarkStart w:id="69" w:name="_Toc29241629"/>
            <w:r>
              <w:t>6.2.4</w:t>
            </w:r>
            <w:r>
              <w:tab/>
            </w:r>
            <w:r>
              <w:rPr>
                <w:lang w:eastAsia="zh-CN"/>
              </w:rPr>
              <w:t>EU-Alert</w:t>
            </w:r>
            <w:bookmarkEnd w:id="64"/>
            <w:bookmarkEnd w:id="65"/>
            <w:bookmarkEnd w:id="66"/>
            <w:bookmarkEnd w:id="67"/>
            <w:bookmarkEnd w:id="68"/>
            <w:bookmarkEnd w:id="69"/>
          </w:p>
          <w:p>
            <w:pPr>
              <w:rPr>
                <w:rFonts w:hint="default" w:eastAsiaTheme="minorEastAsia"/>
                <w:b w:val="0"/>
                <w:bCs w:val="0"/>
                <w:sz w:val="20"/>
                <w:szCs w:val="20"/>
                <w:vertAlign w:val="baseline"/>
                <w:lang w:val="en-US" w:eastAsia="zh-CN"/>
              </w:rPr>
            </w:pPr>
            <w:r>
              <w:rPr>
                <w:lang w:eastAsia="zh-CN"/>
              </w:rPr>
              <w:t xml:space="preserve">It is optional for UE to support EU-Alert reception as specified in TS 36.331 [5]. The </w:t>
            </w:r>
            <w:r>
              <w:t xml:space="preserve">Europearn Union Warning System EU-Alert </w:t>
            </w:r>
            <w:r>
              <w:rPr>
                <w:lang w:eastAsia="zh-CN"/>
              </w:rPr>
              <w:t>uses the same AS mechanisms as defined for CMAS. Therefore a EU-Alert-capable UE shall support all behaviour that is included in TS 36.331 [5] and TS 36.304 [14] for a CMAS-capable UE.</w:t>
            </w:r>
          </w:p>
        </w:tc>
      </w:tr>
    </w:tbl>
    <w:p>
      <w:pPr>
        <w:rPr>
          <w:rFonts w:hint="default" w:eastAsia="宋体"/>
          <w:lang w:val="en-US" w:eastAsia="zh-CN"/>
        </w:rPr>
      </w:pPr>
      <w:r>
        <w:rPr>
          <w:rFonts w:hint="eastAsia" w:eastAsiaTheme="minorEastAsia"/>
          <w:b w:val="0"/>
          <w:bCs w:val="0"/>
          <w:sz w:val="20"/>
          <w:szCs w:val="20"/>
          <w:lang w:val="en-US" w:eastAsia="zh-CN"/>
        </w:rPr>
        <w:t xml:space="preserve">Then section 4 provides </w:t>
      </w:r>
      <w:r>
        <w:t>optional features applicable in NB-IoT</w:t>
      </w:r>
      <w:r>
        <w:rPr>
          <w:rFonts w:hint="eastAsia" w:eastAsia="宋体"/>
          <w:lang w:val="en-US" w:eastAsia="zh-CN"/>
        </w:rPr>
        <w:t xml:space="preserve"> </w:t>
      </w:r>
      <w:r>
        <w:t>without UE radio access capability parameters</w:t>
      </w:r>
      <w:r>
        <w:rPr>
          <w:rFonts w:hint="eastAsia" w:eastAsia="宋体"/>
          <w:lang w:val="en-US" w:eastAsia="zh-CN"/>
        </w:rPr>
        <w:t>. However there is no PWS feature, that is the PWS feature in section 6.2 depicted above is not applicable in NB-IoT, as description in section 4.</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r>
              <w:t>The following optional features without UE radio access capability parameters specified in clause 6 are applicable in NB-IoT:</w:t>
            </w:r>
          </w:p>
          <w:p>
            <w:pPr>
              <w:pStyle w:val="60"/>
            </w:pPr>
            <w:r>
              <w:t>-</w:t>
            </w:r>
            <w:r>
              <w:tab/>
            </w:r>
            <w:r>
              <w:t>RRC Connection Re-establishment for the Control Plane CIoT EPS Optimization (clause 6.7.5)</w:t>
            </w:r>
          </w:p>
          <w:p>
            <w:pPr>
              <w:pStyle w:val="60"/>
            </w:pPr>
            <w:r>
              <w:t>-</w:t>
            </w:r>
            <w:r>
              <w:tab/>
            </w:r>
            <w:r>
              <w:t>System Information Block Type 16 (clause 6.8.1)</w:t>
            </w:r>
          </w:p>
          <w:p>
            <w:pPr>
              <w:pStyle w:val="60"/>
            </w:pPr>
            <w:r>
              <w:t>-</w:t>
            </w:r>
            <w:r>
              <w:tab/>
            </w:r>
            <w:r>
              <w:t>Enhanced random access power control (clause 6.8.3)</w:t>
            </w:r>
          </w:p>
          <w:p>
            <w:pPr>
              <w:pStyle w:val="60"/>
            </w:pPr>
            <w:r>
              <w:t>-</w:t>
            </w:r>
            <w:r>
              <w:tab/>
            </w:r>
            <w:r>
              <w:rPr>
                <w:rFonts w:eastAsia="MS Mincho"/>
              </w:rPr>
              <w:t xml:space="preserve">MT-EDT for Control Plane </w:t>
            </w:r>
            <w:r>
              <w:rPr>
                <w:lang w:eastAsia="zh-CN"/>
              </w:rPr>
              <w:t>CIoT EPS Optimisation</w:t>
            </w:r>
            <w:r>
              <w:t xml:space="preserve"> (clause 6.8.10)</w:t>
            </w:r>
          </w:p>
          <w:p>
            <w:pPr>
              <w:pStyle w:val="60"/>
            </w:pPr>
            <w:r>
              <w:t>-</w:t>
            </w:r>
            <w:r>
              <w:tab/>
            </w:r>
            <w:r>
              <w:rPr>
                <w:rFonts w:eastAsia="MS Mincho"/>
              </w:rPr>
              <w:t xml:space="preserve">MT-EDT for User Plane </w:t>
            </w:r>
            <w:r>
              <w:rPr>
                <w:lang w:eastAsia="zh-CN"/>
              </w:rPr>
              <w:t>CIoT EPS Optimisation</w:t>
            </w:r>
            <w:r>
              <w:t xml:space="preserve"> (clause 6.8.11)</w:t>
            </w:r>
          </w:p>
          <w:p>
            <w:pPr>
              <w:pStyle w:val="60"/>
            </w:pPr>
            <w:r>
              <w:t>-</w:t>
            </w:r>
            <w:r>
              <w:tab/>
            </w:r>
            <w:r>
              <w:t>EDT for Control Plane CIoT EPS Optimization (clause 6.8.4)</w:t>
            </w:r>
          </w:p>
          <w:p>
            <w:pPr>
              <w:pStyle w:val="60"/>
            </w:pPr>
            <w:r>
              <w:t>-</w:t>
            </w:r>
            <w:r>
              <w:tab/>
            </w:r>
            <w:r>
              <w:t>Enhanced PHR (clause 6.8.6)</w:t>
            </w:r>
          </w:p>
          <w:p>
            <w:pPr>
              <w:pStyle w:val="60"/>
            </w:pPr>
            <w:r>
              <w:t>-</w:t>
            </w:r>
            <w:r>
              <w:tab/>
            </w:r>
            <w:r>
              <w:t>Carrier specific NRSRP thresholds for NPRACH resource selection (clause 6.8.15)</w:t>
            </w:r>
          </w:p>
          <w:p>
            <w:pPr>
              <w:pStyle w:val="60"/>
            </w:pPr>
            <w:r>
              <w:t>-</w:t>
            </w:r>
            <w:r>
              <w:tab/>
            </w:r>
            <w:r>
              <w:t>Radio Link Failure Report for NB-IoT (clause 6.10.2)</w:t>
            </w:r>
          </w:p>
          <w:p>
            <w:pPr>
              <w:pStyle w:val="60"/>
            </w:pPr>
            <w:r>
              <w:t>-</w:t>
            </w:r>
            <w:r>
              <w:tab/>
            </w:r>
            <w:r>
              <w:t>SC-PTM in Idle mode (clause 6.16.1)</w:t>
            </w:r>
          </w:p>
          <w:p>
            <w:pPr>
              <w:pStyle w:val="60"/>
            </w:pPr>
            <w:r>
              <w:t>-</w:t>
            </w:r>
            <w:r>
              <w:tab/>
            </w:r>
            <w:r>
              <w:t>Multiple TB scheduling for SC-PTM in Idle mode for NB-IoT (clause 6.16.2)</w:t>
            </w:r>
          </w:p>
          <w:p>
            <w:pPr>
              <w:pStyle w:val="60"/>
            </w:pPr>
            <w:r>
              <w:t>-</w:t>
            </w:r>
            <w:r>
              <w:tab/>
            </w:r>
            <w:r>
              <w:t>Relaxed monitoring (clause 6.17.1)</w:t>
            </w:r>
          </w:p>
          <w:p>
            <w:pPr>
              <w:pStyle w:val="60"/>
            </w:pPr>
            <w:r>
              <w:t>-</w:t>
            </w:r>
            <w:r>
              <w:tab/>
            </w:r>
            <w:r>
              <w:t>DL channel quality reporting in Msg3 for the anchor carrier (clause 6.17.2)</w:t>
            </w:r>
          </w:p>
          <w:p>
            <w:pPr>
              <w:pStyle w:val="60"/>
            </w:pPr>
            <w:r>
              <w:t>-</w:t>
            </w:r>
            <w:r>
              <w:tab/>
            </w:r>
            <w:r>
              <w:t>Serving cell idle mode measurements reporting (clause 6.17.3)</w:t>
            </w:r>
          </w:p>
          <w:p>
            <w:pPr>
              <w:pStyle w:val="60"/>
            </w:pPr>
            <w:r>
              <w:t>-</w:t>
            </w:r>
            <w:r>
              <w:tab/>
            </w:r>
            <w:r>
              <w:t>NSSS-Based RRM measurements (clause 6.17.4)</w:t>
            </w:r>
          </w:p>
          <w:p>
            <w:pPr>
              <w:pStyle w:val="60"/>
            </w:pPr>
            <w:r>
              <w:t>-</w:t>
            </w:r>
            <w:r>
              <w:tab/>
            </w:r>
            <w:r>
              <w:t>NPBCH-Based RRM measurements (clause 6.17.5)</w:t>
            </w:r>
          </w:p>
          <w:p>
            <w:pPr>
              <w:pStyle w:val="60"/>
            </w:pPr>
            <w:r>
              <w:t>-</w:t>
            </w:r>
            <w:r>
              <w:tab/>
            </w:r>
            <w:r>
              <w:rPr>
                <w:lang w:eastAsia="zh-CN"/>
              </w:rPr>
              <w:t>RRM measurements on non-anchor paging carriers</w:t>
            </w:r>
            <w:r>
              <w:t xml:space="preserve"> (clause 6.17.6)</w:t>
            </w:r>
          </w:p>
          <w:p>
            <w:pPr>
              <w:pStyle w:val="60"/>
            </w:pPr>
            <w:r>
              <w:t>-</w:t>
            </w:r>
            <w:r>
              <w:tab/>
            </w:r>
            <w:r>
              <w:rPr>
                <w:bCs/>
              </w:rPr>
              <w:t>NRS presence on non-anchor paging carriers</w:t>
            </w:r>
            <w:r>
              <w:t xml:space="preserve"> (clause 6.17.7)</w:t>
            </w:r>
          </w:p>
          <w:p>
            <w:pPr>
              <w:pStyle w:val="60"/>
            </w:pPr>
            <w:r>
              <w:t>-</w:t>
            </w:r>
            <w:r>
              <w:tab/>
            </w:r>
            <w:r>
              <w:rPr>
                <w:iCs/>
              </w:rPr>
              <w:t>DL channel quality reporting in Msg3 for non-anchor carrier</w:t>
            </w:r>
            <w:r>
              <w:t xml:space="preserve"> (clause 6.17.8)</w:t>
            </w:r>
          </w:p>
          <w:p>
            <w:pPr>
              <w:pStyle w:val="60"/>
            </w:pPr>
            <w:r>
              <w:t>-</w:t>
            </w:r>
            <w:r>
              <w:tab/>
            </w:r>
            <w:r>
              <w:t>Assistance information for inter-RAT cell selection to/from NB-IoT (clause 6.17.9)</w:t>
            </w:r>
          </w:p>
          <w:p>
            <w:pPr>
              <w:pStyle w:val="60"/>
            </w:pPr>
            <w:r>
              <w:t>-</w:t>
            </w:r>
            <w:r>
              <w:tab/>
            </w:r>
            <w:r>
              <w:t>RRC Connection Re-establishment for the Control Plane CIoT 5GS Optimisation (clause 6.18.3)</w:t>
            </w:r>
          </w:p>
          <w:p>
            <w:pPr>
              <w:pStyle w:val="60"/>
            </w:pPr>
            <w:r>
              <w:t>-</w:t>
            </w:r>
            <w:r>
              <w:tab/>
            </w:r>
            <w:r>
              <w:t>NB-IoT/5GC (clause 6.18.4)</w:t>
            </w:r>
          </w:p>
          <w:p>
            <w:pPr>
              <w:pStyle w:val="60"/>
            </w:pPr>
            <w:r>
              <w:t>-</w:t>
            </w:r>
            <w:r>
              <w:tab/>
            </w:r>
            <w:r>
              <w:rPr>
                <w:rFonts w:eastAsia="MS Mincho"/>
              </w:rPr>
              <w:t xml:space="preserve">MO-EDT for Control Plane </w:t>
            </w:r>
            <w:r>
              <w:rPr>
                <w:lang w:eastAsia="zh-CN"/>
              </w:rPr>
              <w:t>CIoT 5GS Optimisation</w:t>
            </w:r>
            <w:r>
              <w:t xml:space="preserve"> (clause 6.18.5)</w:t>
            </w:r>
          </w:p>
          <w:p>
            <w:pPr>
              <w:pStyle w:val="60"/>
            </w:pPr>
            <w:r>
              <w:t>-</w:t>
            </w:r>
            <w:r>
              <w:tab/>
            </w:r>
            <w:r>
              <w:t>AS RAI (clause 6.18.6)</w:t>
            </w:r>
          </w:p>
          <w:p>
            <w:pPr>
              <w:pStyle w:val="60"/>
            </w:pPr>
            <w:r>
              <w:t>-</w:t>
            </w:r>
            <w:r>
              <w:tab/>
            </w:r>
            <w:r>
              <w:t>Cell reselection measurements triggering based on service time (clause 6.19.1)</w:t>
            </w:r>
          </w:p>
          <w:p>
            <w:pPr>
              <w:pStyle w:val="60"/>
            </w:pPr>
            <w:r>
              <w:t>-</w:t>
            </w:r>
            <w:r>
              <w:tab/>
            </w:r>
            <w:r>
              <w:t>Discontinuous coverage (clause 6.19.2).</w:t>
            </w:r>
          </w:p>
          <w:p>
            <w:pPr>
              <w:pStyle w:val="60"/>
            </w:pPr>
            <w:r>
              <w:t>-</w:t>
            </w:r>
            <w:r>
              <w:tab/>
            </w:r>
            <w:r>
              <w:t>Early RLF triggering based on service time (clause 6.19.3).</w:t>
            </w:r>
          </w:p>
          <w:p>
            <w:pPr>
              <w:pStyle w:val="60"/>
            </w:pPr>
            <w:r>
              <w:t>-</w:t>
            </w:r>
            <w:r>
              <w:tab/>
            </w:r>
            <w:r>
              <w:t>Neighbour cell measurements based on service start time of the neighbour cell (clause 6.19.4).</w:t>
            </w:r>
          </w:p>
          <w:p>
            <w:pPr>
              <w:pStyle w:val="60"/>
            </w:pPr>
            <w:r>
              <w:t>-</w:t>
            </w:r>
            <w:r>
              <w:tab/>
            </w:r>
            <w:r>
              <w:t>UE autonomous release based on service time (clause 6.19.5).</w:t>
            </w:r>
          </w:p>
          <w:p>
            <w:pPr>
              <w:pStyle w:val="60"/>
            </w:pPr>
            <w:r>
              <w:t>-</w:t>
            </w:r>
            <w:r>
              <w:tab/>
            </w:r>
            <w:r>
              <w:t>Cell reselection measurements triggering based on location for (quasi-)fixed cell (clause 6.19.6).</w:t>
            </w:r>
          </w:p>
          <w:p>
            <w:pPr>
              <w:pStyle w:val="60"/>
            </w:pPr>
            <w:r>
              <w:t>-</w:t>
            </w:r>
            <w:r>
              <w:tab/>
            </w:r>
            <w:r>
              <w:t>Cell reselection measurements triggering based on location for earth moving cell (clause 6.19.7).</w:t>
            </w:r>
          </w:p>
          <w:p>
            <w:pPr>
              <w:pStyle w:val="60"/>
            </w:pPr>
            <w:r>
              <w:t>-</w:t>
            </w:r>
            <w:r>
              <w:tab/>
            </w:r>
            <w:r>
              <w:t>GNSS measurements during inactive time (clause 6.19.8).</w:t>
            </w:r>
          </w:p>
          <w:p>
            <w:pPr>
              <w:pStyle w:val="60"/>
            </w:pPr>
            <w:r>
              <w:t>-</w:t>
            </w:r>
            <w:r>
              <w:tab/>
            </w:r>
            <w:r>
              <w:t>SystemInformationBlockType33(-NB) reception in a TN cell (clause 6.19.9).</w:t>
            </w:r>
          </w:p>
          <w:p>
            <w:pPr>
              <w:rPr>
                <w:rFonts w:hint="default" w:eastAsiaTheme="minorEastAsia"/>
                <w:b w:val="0"/>
                <w:bCs w:val="0"/>
                <w:sz w:val="20"/>
                <w:szCs w:val="20"/>
                <w:vertAlign w:val="baseline"/>
                <w:lang w:val="en-US" w:eastAsia="zh-CN"/>
              </w:rPr>
            </w:pPr>
            <w:r>
              <w:rPr>
                <w:highlight w:val="yellow"/>
              </w:rPr>
              <w:t>The optional features without UE radio access capability parameters specified in clause 6 are not applicable in NB-IoT, unless they are listed above.</w:t>
            </w:r>
          </w:p>
        </w:tc>
      </w:tr>
    </w:tbl>
    <w:p>
      <w:pPr>
        <w:pStyle w:val="60"/>
        <w:spacing w:after="0"/>
        <w:ind w:left="0" w:firstLine="0"/>
        <w:rPr>
          <w:rFonts w:hint="default" w:eastAsiaTheme="minorEastAsia"/>
          <w:b w:val="0"/>
          <w:bCs w:val="0"/>
          <w:sz w:val="20"/>
          <w:szCs w:val="20"/>
          <w:lang w:val="en-US" w:eastAsia="zh-CN"/>
        </w:rPr>
      </w:pPr>
      <w:r>
        <w:rPr>
          <w:rFonts w:hint="eastAsia" w:eastAsiaTheme="minorEastAsia"/>
          <w:b w:val="0"/>
          <w:bCs w:val="0"/>
          <w:sz w:val="20"/>
          <w:szCs w:val="20"/>
          <w:lang w:val="en-US" w:eastAsia="zh-CN"/>
        </w:rPr>
        <w:t>Therefore, to support PWS in NB-IoT, a simple solution is to add support PWS in section 4 of TS 36.306, then the PWS feature in 6.2 could be apply to NB-IoT directly.</w:t>
      </w:r>
    </w:p>
    <w:p>
      <w:pPr>
        <w:pStyle w:val="60"/>
        <w:spacing w:after="0"/>
        <w:ind w:left="0" w:firstLine="0"/>
        <w:rPr>
          <w:rFonts w:hint="default" w:eastAsia="宋体"/>
          <w:b/>
          <w:bCs/>
          <w:lang w:val="en-US" w:eastAsia="zh-CN"/>
        </w:rPr>
      </w:pPr>
      <w:r>
        <w:rPr>
          <w:rFonts w:hint="eastAsia" w:eastAsia="宋体"/>
          <w:b/>
          <w:bCs/>
          <w:lang w:val="en-US" w:eastAsia="zh-CN"/>
        </w:rPr>
        <w:t>Proposal 4: Introduce PWS reception in section 4 of TS 36.306, then the PWS feature in 6.2 could be apply to NB-IoT directly.</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on broadcast of PWS messages for NB-IoT</w:t>
      </w:r>
      <w:r>
        <w:rPr>
          <w:rFonts w:eastAsiaTheme="minorEastAsia"/>
          <w:sz w:val="20"/>
          <w:szCs w:val="20"/>
          <w:lang w:eastAsia="zh-CN"/>
        </w:rPr>
        <w:t xml:space="preserve"> </w:t>
      </w:r>
      <w:r>
        <w:rPr>
          <w:rFonts w:eastAsia="宋体" w:cs="Arial"/>
          <w:sz w:val="20"/>
          <w:szCs w:val="20"/>
        </w:rPr>
        <w:t>and have the following</w:t>
      </w:r>
      <w:r>
        <w:rPr>
          <w:rFonts w:hint="eastAsia" w:eastAsia="宋体" w:cs="Arial"/>
          <w:sz w:val="20"/>
          <w:szCs w:val="20"/>
          <w:lang w:val="en-US" w:eastAsia="zh-CN"/>
        </w:rPr>
        <w:t xml:space="preserve"> </w:t>
      </w:r>
      <w:r>
        <w:rPr>
          <w:rFonts w:eastAsia="宋体" w:cs="Arial"/>
          <w:sz w:val="20"/>
          <w:szCs w:val="20"/>
        </w:rPr>
        <w:t>proposals:</w:t>
      </w:r>
    </w:p>
    <w:p>
      <w:pPr>
        <w:pStyle w:val="60"/>
        <w:spacing w:after="0"/>
        <w:ind w:left="0" w:firstLine="0"/>
        <w:rPr>
          <w:rFonts w:hint="eastAsia" w:eastAsiaTheme="minorEastAsia"/>
          <w:b/>
          <w:bCs/>
          <w:sz w:val="20"/>
          <w:szCs w:val="20"/>
          <w:lang w:val="en-US" w:eastAsia="zh-CN"/>
        </w:rPr>
      </w:pPr>
      <w:r>
        <w:rPr>
          <w:rFonts w:hint="eastAsia" w:eastAsiaTheme="minorEastAsia"/>
          <w:b/>
          <w:bCs/>
          <w:sz w:val="20"/>
          <w:szCs w:val="20"/>
          <w:lang w:val="en-US" w:eastAsia="zh-CN"/>
        </w:rPr>
        <w:t>Proposal 1: RAN2 confirms not to support PWS notification in paging, direct indication, and system information in RRC_CONNECTED in R19.</w:t>
      </w:r>
    </w:p>
    <w:p>
      <w:pPr>
        <w:pStyle w:val="60"/>
        <w:spacing w:after="0"/>
        <w:ind w:left="0" w:firstLine="0"/>
        <w:rPr>
          <w:rFonts w:hint="default" w:eastAsiaTheme="minorEastAsia"/>
          <w:b/>
          <w:bCs/>
          <w:sz w:val="20"/>
          <w:szCs w:val="20"/>
          <w:lang w:val="en-US" w:eastAsia="zh-CN"/>
        </w:rPr>
      </w:pPr>
      <w:r>
        <w:rPr>
          <w:rFonts w:hint="eastAsia" w:eastAsiaTheme="minorEastAsia"/>
          <w:b/>
          <w:bCs/>
          <w:sz w:val="20"/>
          <w:szCs w:val="20"/>
          <w:lang w:val="en-US" w:eastAsia="zh-CN"/>
        </w:rPr>
        <w:t>Proposal 2: Kindly suggest RAN2 to further discuss RRC dedicated signaling solution for PWS notification in RRC_CONNECTED.</w:t>
      </w:r>
    </w:p>
    <w:p>
      <w:pPr>
        <w:pStyle w:val="60"/>
        <w:spacing w:after="0"/>
        <w:ind w:left="0" w:firstLine="0"/>
        <w:rPr>
          <w:rFonts w:hint="default" w:eastAsia="宋体"/>
          <w:b/>
          <w:bCs/>
          <w:lang w:val="en-US" w:eastAsia="zh-CN"/>
        </w:rPr>
      </w:pPr>
      <w:r>
        <w:rPr>
          <w:rFonts w:hint="eastAsia" w:eastAsia="宋体"/>
          <w:b/>
          <w:bCs/>
          <w:lang w:val="en-US" w:eastAsia="zh-CN"/>
        </w:rPr>
        <w:t>Proposal 3: We could just extend the existing mechanism to NB-IoT NTN for SIB1-NB acquisition, and no further enhancement is needed.</w:t>
      </w:r>
    </w:p>
    <w:p>
      <w:pPr>
        <w:pStyle w:val="60"/>
        <w:spacing w:after="0"/>
        <w:ind w:left="0" w:firstLine="0"/>
        <w:rPr>
          <w:rFonts w:hint="default" w:eastAsia="宋体"/>
          <w:b/>
          <w:bCs/>
          <w:lang w:val="en-US" w:eastAsia="zh-CN"/>
        </w:rPr>
      </w:pPr>
      <w:r>
        <w:rPr>
          <w:rFonts w:hint="eastAsia" w:eastAsia="宋体"/>
          <w:b/>
          <w:bCs/>
          <w:lang w:val="en-US" w:eastAsia="zh-CN"/>
        </w:rPr>
        <w:t>Proposal 4: Introduce PWS reception in section 4 of TS 36.306, then the PWS feature in 6.2 could be apply to NB-IoT directly.</w:t>
      </w:r>
    </w:p>
    <w:p>
      <w:pPr>
        <w:pStyle w:val="2"/>
        <w:rPr>
          <w:rFonts w:cs="Arial"/>
          <w:sz w:val="32"/>
          <w:szCs w:val="32"/>
        </w:rPr>
      </w:pPr>
      <w:r>
        <w:rPr>
          <w:rFonts w:cs="Arial"/>
          <w:sz w:val="32"/>
          <w:szCs w:val="32"/>
        </w:rPr>
        <w:t>Reference</w:t>
      </w:r>
    </w:p>
    <w:p>
      <w:pPr>
        <w:pStyle w:val="27"/>
        <w:numPr>
          <w:ilvl w:val="0"/>
          <w:numId w:val="12"/>
        </w:numPr>
        <w:overflowPunct/>
        <w:autoSpaceDE/>
        <w:autoSpaceDN/>
        <w:adjustRightInd/>
        <w:spacing w:beforeLines="50" w:after="0"/>
        <w:jc w:val="left"/>
        <w:textAlignment w:val="auto"/>
        <w:rPr>
          <w:rFonts w:hint="eastAsia"/>
          <w:sz w:val="20"/>
          <w:szCs w:val="20"/>
        </w:rPr>
      </w:pPr>
      <w:bookmarkStart w:id="70" w:name="_In-sequence_SDU_delivery"/>
      <w:bookmarkEnd w:id="70"/>
      <w:r>
        <w:rPr>
          <w:rFonts w:hint="eastAsia"/>
          <w:sz w:val="20"/>
          <w:szCs w:val="20"/>
        </w:rPr>
        <w:t>R2-129 NR-NTN-IoT-NTN (Sergio)_ EOM</w:t>
      </w:r>
    </w:p>
    <w:p>
      <w:pPr>
        <w:pStyle w:val="27"/>
        <w:numPr>
          <w:ilvl w:val="0"/>
          <w:numId w:val="12"/>
        </w:numPr>
        <w:overflowPunct/>
        <w:autoSpaceDE/>
        <w:autoSpaceDN/>
        <w:adjustRightInd/>
        <w:spacing w:beforeLines="50" w:after="0"/>
        <w:jc w:val="left"/>
        <w:textAlignment w:val="auto"/>
        <w:rPr>
          <w:rFonts w:hint="eastAsia"/>
          <w:sz w:val="20"/>
          <w:szCs w:val="20"/>
        </w:rPr>
      </w:pPr>
      <w:r>
        <w:rPr>
          <w:rFonts w:hint="eastAsia"/>
          <w:sz w:val="20"/>
          <w:szCs w:val="20"/>
        </w:rPr>
        <w:t>RP-250472 WID Rev R19 IOT-NTN cl</w:t>
      </w:r>
    </w:p>
    <w:p>
      <w:pPr>
        <w:pStyle w:val="27"/>
        <w:numPr>
          <w:ilvl w:val="0"/>
          <w:numId w:val="12"/>
        </w:numPr>
        <w:overflowPunct/>
        <w:autoSpaceDE/>
        <w:autoSpaceDN/>
        <w:adjustRightInd/>
        <w:spacing w:beforeLines="50" w:after="0"/>
        <w:jc w:val="left"/>
        <w:textAlignment w:val="auto"/>
        <w:rPr>
          <w:rFonts w:hint="eastAsia"/>
          <w:sz w:val="20"/>
          <w:szCs w:val="20"/>
        </w:rPr>
      </w:pPr>
      <w:r>
        <w:rPr>
          <w:rFonts w:hint="eastAsia"/>
          <w:sz w:val="20"/>
          <w:szCs w:val="20"/>
        </w:rPr>
        <w:t>3GPP TS 36.300 V18.</w:t>
      </w:r>
      <w:r>
        <w:rPr>
          <w:rFonts w:hint="eastAsia" w:eastAsia="宋体"/>
          <w:sz w:val="20"/>
          <w:szCs w:val="20"/>
          <w:lang w:val="en-US" w:eastAsia="zh-CN"/>
        </w:rPr>
        <w:t>2</w:t>
      </w:r>
      <w:r>
        <w:rPr>
          <w:rFonts w:hint="eastAsia"/>
          <w:sz w:val="20"/>
          <w:szCs w:val="20"/>
        </w:rPr>
        <w:t>.0</w:t>
      </w:r>
      <w:r>
        <w:rPr>
          <w:rFonts w:hint="eastAsia" w:eastAsia="宋体"/>
          <w:sz w:val="20"/>
          <w:szCs w:val="20"/>
          <w:lang w:val="en-US" w:eastAsia="zh-CN"/>
        </w:rPr>
        <w:t xml:space="preserve"> Evolved Universal Terrestrial Radio Access (E-UTRA) and Evolved Universal Terrestrial Radio Access Network (E-UTRAN); Overall description; Stage 2 (Release 18)</w:t>
      </w:r>
    </w:p>
    <w:p>
      <w:pPr>
        <w:pStyle w:val="27"/>
        <w:numPr>
          <w:ilvl w:val="0"/>
          <w:numId w:val="12"/>
        </w:numPr>
        <w:overflowPunct/>
        <w:autoSpaceDE/>
        <w:autoSpaceDN/>
        <w:adjustRightInd/>
        <w:spacing w:beforeLines="50" w:after="0"/>
        <w:jc w:val="left"/>
        <w:textAlignment w:val="auto"/>
        <w:rPr>
          <w:rFonts w:hint="eastAsia"/>
          <w:sz w:val="20"/>
          <w:szCs w:val="20"/>
        </w:rPr>
      </w:pPr>
      <w:r>
        <w:rPr>
          <w:rFonts w:hint="eastAsia"/>
          <w:sz w:val="20"/>
          <w:szCs w:val="20"/>
        </w:rPr>
        <w:t>3GPP TS 36.331 V18.2.0 Evolved Universal Terrestrial Radio Access (E-UTRA);</w:t>
      </w:r>
      <w:r>
        <w:rPr>
          <w:rFonts w:hint="eastAsia" w:eastAsia="宋体"/>
          <w:sz w:val="20"/>
          <w:szCs w:val="20"/>
          <w:lang w:val="en-US" w:eastAsia="zh-CN"/>
        </w:rPr>
        <w:t xml:space="preserve"> </w:t>
      </w:r>
      <w:r>
        <w:rPr>
          <w:rFonts w:hint="eastAsia"/>
          <w:sz w:val="20"/>
          <w:szCs w:val="20"/>
        </w:rPr>
        <w:t>Radio Resource Control (RRC);</w:t>
      </w:r>
      <w:r>
        <w:rPr>
          <w:rFonts w:hint="eastAsia" w:eastAsia="宋体"/>
          <w:sz w:val="20"/>
          <w:szCs w:val="20"/>
          <w:lang w:val="en-US" w:eastAsia="zh-CN"/>
        </w:rPr>
        <w:t xml:space="preserve"> </w:t>
      </w:r>
      <w:r>
        <w:rPr>
          <w:rFonts w:hint="eastAsia"/>
          <w:sz w:val="20"/>
          <w:szCs w:val="20"/>
        </w:rPr>
        <w:t>Protocol specification</w:t>
      </w:r>
      <w:r>
        <w:rPr>
          <w:rFonts w:hint="eastAsia" w:eastAsia="宋体"/>
          <w:sz w:val="20"/>
          <w:szCs w:val="20"/>
          <w:lang w:val="en-US" w:eastAsia="zh-CN"/>
        </w:rPr>
        <w:t xml:space="preserve"> </w:t>
      </w:r>
      <w:r>
        <w:rPr>
          <w:rFonts w:hint="eastAsia"/>
          <w:sz w:val="20"/>
          <w:szCs w:val="20"/>
        </w:rPr>
        <w:t>(Release 18)</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4</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A43A1"/>
    <w:multiLevelType w:val="singleLevel"/>
    <w:tmpl w:val="C59A43A1"/>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6D5F35E4"/>
    <w:multiLevelType w:val="multilevel"/>
    <w:tmpl w:val="6D5F35E4"/>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1">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6"/>
  </w:num>
  <w:num w:numId="5">
    <w:abstractNumId w:val="2"/>
  </w:num>
  <w:num w:numId="6">
    <w:abstractNumId w:val="5"/>
  </w:num>
  <w:num w:numId="7">
    <w:abstractNumId w:val="7"/>
  </w:num>
  <w:num w:numId="8">
    <w:abstractNumId w:val="4"/>
  </w:num>
  <w:num w:numId="9">
    <w:abstractNumId w:val="8"/>
  </w:num>
  <w:num w:numId="10">
    <w:abstractNumId w:val="11"/>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bordersDoNotSurroundHeader w:val="0"/>
  <w:bordersDoNotSurroundFooter w:val="0"/>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00AC"/>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58B"/>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4C4"/>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1315"/>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426C64"/>
    <w:rsid w:val="015036AA"/>
    <w:rsid w:val="015B631E"/>
    <w:rsid w:val="016318F9"/>
    <w:rsid w:val="017A73D0"/>
    <w:rsid w:val="018E0749"/>
    <w:rsid w:val="019A10AD"/>
    <w:rsid w:val="01A659EC"/>
    <w:rsid w:val="01BF172D"/>
    <w:rsid w:val="01E74520"/>
    <w:rsid w:val="021F6B8A"/>
    <w:rsid w:val="022F4B03"/>
    <w:rsid w:val="02744528"/>
    <w:rsid w:val="02877C19"/>
    <w:rsid w:val="028D67E7"/>
    <w:rsid w:val="02CC0A1F"/>
    <w:rsid w:val="035845AA"/>
    <w:rsid w:val="03A11802"/>
    <w:rsid w:val="03A70CE2"/>
    <w:rsid w:val="03CD053C"/>
    <w:rsid w:val="03F47F88"/>
    <w:rsid w:val="0416334A"/>
    <w:rsid w:val="04726FC9"/>
    <w:rsid w:val="048A5003"/>
    <w:rsid w:val="04A13B04"/>
    <w:rsid w:val="04B403C6"/>
    <w:rsid w:val="04BC080F"/>
    <w:rsid w:val="04BF107F"/>
    <w:rsid w:val="04D25727"/>
    <w:rsid w:val="04DA176A"/>
    <w:rsid w:val="04F07943"/>
    <w:rsid w:val="04F50E2F"/>
    <w:rsid w:val="051D3A75"/>
    <w:rsid w:val="05606A49"/>
    <w:rsid w:val="059476CF"/>
    <w:rsid w:val="05983EBC"/>
    <w:rsid w:val="05A35E9B"/>
    <w:rsid w:val="06077EDA"/>
    <w:rsid w:val="06254DA5"/>
    <w:rsid w:val="06261BBF"/>
    <w:rsid w:val="0654248D"/>
    <w:rsid w:val="06565EAE"/>
    <w:rsid w:val="065C74ED"/>
    <w:rsid w:val="06724B04"/>
    <w:rsid w:val="06F35128"/>
    <w:rsid w:val="07046057"/>
    <w:rsid w:val="077938FB"/>
    <w:rsid w:val="078C1F33"/>
    <w:rsid w:val="07B241B1"/>
    <w:rsid w:val="07B959B1"/>
    <w:rsid w:val="07BD374D"/>
    <w:rsid w:val="07E769A5"/>
    <w:rsid w:val="07EF7893"/>
    <w:rsid w:val="08350D3C"/>
    <w:rsid w:val="083F0917"/>
    <w:rsid w:val="0841118C"/>
    <w:rsid w:val="08AF444E"/>
    <w:rsid w:val="08F65DA6"/>
    <w:rsid w:val="09133D3D"/>
    <w:rsid w:val="09BB5B6F"/>
    <w:rsid w:val="09E47F26"/>
    <w:rsid w:val="09F46CE4"/>
    <w:rsid w:val="0A1A51CE"/>
    <w:rsid w:val="0A3F21EB"/>
    <w:rsid w:val="0A5E59A5"/>
    <w:rsid w:val="0A9740DA"/>
    <w:rsid w:val="0AA40C7E"/>
    <w:rsid w:val="0ACC0F45"/>
    <w:rsid w:val="0B080B5F"/>
    <w:rsid w:val="0B4A1814"/>
    <w:rsid w:val="0B510D2F"/>
    <w:rsid w:val="0B767B3C"/>
    <w:rsid w:val="0BCF37C5"/>
    <w:rsid w:val="0BD60B5C"/>
    <w:rsid w:val="0C0E133A"/>
    <w:rsid w:val="0C187DEE"/>
    <w:rsid w:val="0C4B2410"/>
    <w:rsid w:val="0C984883"/>
    <w:rsid w:val="0CAE5B2E"/>
    <w:rsid w:val="0CD409FF"/>
    <w:rsid w:val="0D026D57"/>
    <w:rsid w:val="0D524167"/>
    <w:rsid w:val="0D587FCA"/>
    <w:rsid w:val="0D681ED9"/>
    <w:rsid w:val="0D6C179F"/>
    <w:rsid w:val="0DA013F6"/>
    <w:rsid w:val="0DDB664A"/>
    <w:rsid w:val="0E2944A5"/>
    <w:rsid w:val="0E336CD8"/>
    <w:rsid w:val="0E891356"/>
    <w:rsid w:val="0E997EF0"/>
    <w:rsid w:val="0EC440FF"/>
    <w:rsid w:val="0EF139CD"/>
    <w:rsid w:val="0FB354FB"/>
    <w:rsid w:val="0FCC0A5A"/>
    <w:rsid w:val="0FE0018D"/>
    <w:rsid w:val="0FE7023A"/>
    <w:rsid w:val="10221AC0"/>
    <w:rsid w:val="106E3473"/>
    <w:rsid w:val="108131DD"/>
    <w:rsid w:val="10A3105B"/>
    <w:rsid w:val="10F56664"/>
    <w:rsid w:val="11043CD0"/>
    <w:rsid w:val="110F10D1"/>
    <w:rsid w:val="11282A8C"/>
    <w:rsid w:val="117C0058"/>
    <w:rsid w:val="118D209C"/>
    <w:rsid w:val="11936376"/>
    <w:rsid w:val="11B82D63"/>
    <w:rsid w:val="11BA1EB3"/>
    <w:rsid w:val="11C5063A"/>
    <w:rsid w:val="11DB55E5"/>
    <w:rsid w:val="11E85124"/>
    <w:rsid w:val="12521E34"/>
    <w:rsid w:val="12B27083"/>
    <w:rsid w:val="12BA7EC6"/>
    <w:rsid w:val="12D20EAC"/>
    <w:rsid w:val="13116F0E"/>
    <w:rsid w:val="13132FCE"/>
    <w:rsid w:val="134A0035"/>
    <w:rsid w:val="135C7F4F"/>
    <w:rsid w:val="1382544E"/>
    <w:rsid w:val="13997B36"/>
    <w:rsid w:val="141B1C76"/>
    <w:rsid w:val="14340C08"/>
    <w:rsid w:val="147010CF"/>
    <w:rsid w:val="14A20FFB"/>
    <w:rsid w:val="14B67E3C"/>
    <w:rsid w:val="14B82DC6"/>
    <w:rsid w:val="14DD4E80"/>
    <w:rsid w:val="153214F9"/>
    <w:rsid w:val="153372CB"/>
    <w:rsid w:val="15FB5B3D"/>
    <w:rsid w:val="16150148"/>
    <w:rsid w:val="16563130"/>
    <w:rsid w:val="169343E9"/>
    <w:rsid w:val="16A42650"/>
    <w:rsid w:val="16AA08E2"/>
    <w:rsid w:val="16F24CA6"/>
    <w:rsid w:val="171B31CF"/>
    <w:rsid w:val="176156CD"/>
    <w:rsid w:val="177E36D0"/>
    <w:rsid w:val="179450F0"/>
    <w:rsid w:val="17945CA4"/>
    <w:rsid w:val="180E362D"/>
    <w:rsid w:val="181B2E1C"/>
    <w:rsid w:val="182D4589"/>
    <w:rsid w:val="18571522"/>
    <w:rsid w:val="18787128"/>
    <w:rsid w:val="189C1049"/>
    <w:rsid w:val="18B278BB"/>
    <w:rsid w:val="18B9619D"/>
    <w:rsid w:val="18EB5907"/>
    <w:rsid w:val="190A668D"/>
    <w:rsid w:val="191242AE"/>
    <w:rsid w:val="195B3A6D"/>
    <w:rsid w:val="197C175F"/>
    <w:rsid w:val="19AC5C42"/>
    <w:rsid w:val="19BC1AC5"/>
    <w:rsid w:val="19D92839"/>
    <w:rsid w:val="19DD3DE3"/>
    <w:rsid w:val="1A201089"/>
    <w:rsid w:val="1A330485"/>
    <w:rsid w:val="1A384090"/>
    <w:rsid w:val="1A913825"/>
    <w:rsid w:val="1AA366F2"/>
    <w:rsid w:val="1AC82085"/>
    <w:rsid w:val="1AEF5DBD"/>
    <w:rsid w:val="1B423649"/>
    <w:rsid w:val="1B510746"/>
    <w:rsid w:val="1BA24967"/>
    <w:rsid w:val="1BD95F94"/>
    <w:rsid w:val="1BDA5141"/>
    <w:rsid w:val="1C3D1CD0"/>
    <w:rsid w:val="1C5E7298"/>
    <w:rsid w:val="1C7A32CF"/>
    <w:rsid w:val="1C851710"/>
    <w:rsid w:val="1C917FBA"/>
    <w:rsid w:val="1D82362E"/>
    <w:rsid w:val="1DD14FB1"/>
    <w:rsid w:val="1DDD518B"/>
    <w:rsid w:val="1E1507D7"/>
    <w:rsid w:val="1E1B62F5"/>
    <w:rsid w:val="1E3072B7"/>
    <w:rsid w:val="1E403C53"/>
    <w:rsid w:val="1EA20D4A"/>
    <w:rsid w:val="1EAA6DF5"/>
    <w:rsid w:val="1ECC19F8"/>
    <w:rsid w:val="1EFF6958"/>
    <w:rsid w:val="1F0926FA"/>
    <w:rsid w:val="1F0A1209"/>
    <w:rsid w:val="1F734328"/>
    <w:rsid w:val="1FA11974"/>
    <w:rsid w:val="1FAE283E"/>
    <w:rsid w:val="1FB32543"/>
    <w:rsid w:val="20203DE8"/>
    <w:rsid w:val="2031215C"/>
    <w:rsid w:val="20955704"/>
    <w:rsid w:val="20DB7C51"/>
    <w:rsid w:val="20E9518E"/>
    <w:rsid w:val="20FE42D5"/>
    <w:rsid w:val="210067C7"/>
    <w:rsid w:val="211313D4"/>
    <w:rsid w:val="21234291"/>
    <w:rsid w:val="218E2416"/>
    <w:rsid w:val="21E52206"/>
    <w:rsid w:val="21F86645"/>
    <w:rsid w:val="22C4562D"/>
    <w:rsid w:val="23144387"/>
    <w:rsid w:val="234E7F45"/>
    <w:rsid w:val="23686144"/>
    <w:rsid w:val="237C25AE"/>
    <w:rsid w:val="239A17D4"/>
    <w:rsid w:val="239F51B6"/>
    <w:rsid w:val="241B2FD5"/>
    <w:rsid w:val="242445BB"/>
    <w:rsid w:val="243F039F"/>
    <w:rsid w:val="245B6D34"/>
    <w:rsid w:val="249E226F"/>
    <w:rsid w:val="24B5447A"/>
    <w:rsid w:val="24B82068"/>
    <w:rsid w:val="24E02080"/>
    <w:rsid w:val="24E10292"/>
    <w:rsid w:val="25043CC9"/>
    <w:rsid w:val="25CF1B20"/>
    <w:rsid w:val="25D04052"/>
    <w:rsid w:val="25DE0600"/>
    <w:rsid w:val="26281CED"/>
    <w:rsid w:val="264B1EA6"/>
    <w:rsid w:val="265D0D96"/>
    <w:rsid w:val="267976A8"/>
    <w:rsid w:val="269447EB"/>
    <w:rsid w:val="26B07C33"/>
    <w:rsid w:val="26D47A62"/>
    <w:rsid w:val="270270D4"/>
    <w:rsid w:val="27306E68"/>
    <w:rsid w:val="27606908"/>
    <w:rsid w:val="27620233"/>
    <w:rsid w:val="276D70AB"/>
    <w:rsid w:val="277E77C1"/>
    <w:rsid w:val="27AB7664"/>
    <w:rsid w:val="27AE47D9"/>
    <w:rsid w:val="27C7291F"/>
    <w:rsid w:val="27E26E59"/>
    <w:rsid w:val="27F86794"/>
    <w:rsid w:val="2809471B"/>
    <w:rsid w:val="28255BB3"/>
    <w:rsid w:val="285478B9"/>
    <w:rsid w:val="28603CA4"/>
    <w:rsid w:val="287D0002"/>
    <w:rsid w:val="287D5E75"/>
    <w:rsid w:val="28AD0B61"/>
    <w:rsid w:val="28FA7E82"/>
    <w:rsid w:val="290239E4"/>
    <w:rsid w:val="29423CBE"/>
    <w:rsid w:val="29CD3FA9"/>
    <w:rsid w:val="2A1862C4"/>
    <w:rsid w:val="2A1D0497"/>
    <w:rsid w:val="2A4B23FB"/>
    <w:rsid w:val="2AC455D6"/>
    <w:rsid w:val="2AC82235"/>
    <w:rsid w:val="2AF0613E"/>
    <w:rsid w:val="2B083F92"/>
    <w:rsid w:val="2B32636D"/>
    <w:rsid w:val="2B542A45"/>
    <w:rsid w:val="2B9213A9"/>
    <w:rsid w:val="2BB96BD3"/>
    <w:rsid w:val="2BC72D99"/>
    <w:rsid w:val="2BE54292"/>
    <w:rsid w:val="2BFC2B9D"/>
    <w:rsid w:val="2C285659"/>
    <w:rsid w:val="2C4872CD"/>
    <w:rsid w:val="2C9F2631"/>
    <w:rsid w:val="2CF51ED1"/>
    <w:rsid w:val="2CFA23BD"/>
    <w:rsid w:val="2D3B228A"/>
    <w:rsid w:val="2D5923F4"/>
    <w:rsid w:val="2D8523AE"/>
    <w:rsid w:val="2DB6192E"/>
    <w:rsid w:val="2DB67426"/>
    <w:rsid w:val="2DF36570"/>
    <w:rsid w:val="2E103F98"/>
    <w:rsid w:val="2EB775B3"/>
    <w:rsid w:val="2EC80E25"/>
    <w:rsid w:val="2ECD5251"/>
    <w:rsid w:val="2EDD0842"/>
    <w:rsid w:val="2EE85B84"/>
    <w:rsid w:val="2EF94A67"/>
    <w:rsid w:val="2EFC31BC"/>
    <w:rsid w:val="2F2F4C2C"/>
    <w:rsid w:val="2F3D4E71"/>
    <w:rsid w:val="301F442D"/>
    <w:rsid w:val="302E07AF"/>
    <w:rsid w:val="30866EAA"/>
    <w:rsid w:val="30946552"/>
    <w:rsid w:val="309E20B5"/>
    <w:rsid w:val="30BF1F4D"/>
    <w:rsid w:val="30D77645"/>
    <w:rsid w:val="30F3431F"/>
    <w:rsid w:val="311B0263"/>
    <w:rsid w:val="31503E5A"/>
    <w:rsid w:val="316D7D0D"/>
    <w:rsid w:val="319D3380"/>
    <w:rsid w:val="31A0052A"/>
    <w:rsid w:val="31AE180F"/>
    <w:rsid w:val="31AE4D12"/>
    <w:rsid w:val="31BB0B8C"/>
    <w:rsid w:val="3244236F"/>
    <w:rsid w:val="326B2AB6"/>
    <w:rsid w:val="32A942B0"/>
    <w:rsid w:val="32B005E8"/>
    <w:rsid w:val="32F13120"/>
    <w:rsid w:val="333000CE"/>
    <w:rsid w:val="333663A2"/>
    <w:rsid w:val="335B55F1"/>
    <w:rsid w:val="33863C3A"/>
    <w:rsid w:val="339E4E4D"/>
    <w:rsid w:val="33A81036"/>
    <w:rsid w:val="33E26367"/>
    <w:rsid w:val="33F614DE"/>
    <w:rsid w:val="341E7B56"/>
    <w:rsid w:val="34207E90"/>
    <w:rsid w:val="342C61EA"/>
    <w:rsid w:val="34914DCA"/>
    <w:rsid w:val="34C6331F"/>
    <w:rsid w:val="34D95BB9"/>
    <w:rsid w:val="34E92108"/>
    <w:rsid w:val="34F97D00"/>
    <w:rsid w:val="35050B53"/>
    <w:rsid w:val="354D014F"/>
    <w:rsid w:val="35502BD2"/>
    <w:rsid w:val="35814029"/>
    <w:rsid w:val="35A35F0C"/>
    <w:rsid w:val="361C2353"/>
    <w:rsid w:val="3635547B"/>
    <w:rsid w:val="365C6586"/>
    <w:rsid w:val="36746B61"/>
    <w:rsid w:val="36A9407C"/>
    <w:rsid w:val="36CA7953"/>
    <w:rsid w:val="36FA1D41"/>
    <w:rsid w:val="37C2178A"/>
    <w:rsid w:val="37D61EDD"/>
    <w:rsid w:val="37E26F6D"/>
    <w:rsid w:val="37E93248"/>
    <w:rsid w:val="37F97B97"/>
    <w:rsid w:val="380411EC"/>
    <w:rsid w:val="3829480D"/>
    <w:rsid w:val="383529C2"/>
    <w:rsid w:val="383C5BD0"/>
    <w:rsid w:val="38536D3F"/>
    <w:rsid w:val="387B61F0"/>
    <w:rsid w:val="387D26D9"/>
    <w:rsid w:val="388727CC"/>
    <w:rsid w:val="39024B57"/>
    <w:rsid w:val="39B21A05"/>
    <w:rsid w:val="39F1794B"/>
    <w:rsid w:val="3A02147B"/>
    <w:rsid w:val="3A06167E"/>
    <w:rsid w:val="3A3665DD"/>
    <w:rsid w:val="3A6F42D5"/>
    <w:rsid w:val="3A82293D"/>
    <w:rsid w:val="3A9E2AD9"/>
    <w:rsid w:val="3AC57875"/>
    <w:rsid w:val="3AD86F0B"/>
    <w:rsid w:val="3AE309A9"/>
    <w:rsid w:val="3AEF40DA"/>
    <w:rsid w:val="3B0F7192"/>
    <w:rsid w:val="3B596DF7"/>
    <w:rsid w:val="3BC23F1A"/>
    <w:rsid w:val="3BC52C1E"/>
    <w:rsid w:val="3C2A7289"/>
    <w:rsid w:val="3C5503C9"/>
    <w:rsid w:val="3C6D30EA"/>
    <w:rsid w:val="3C6D47EB"/>
    <w:rsid w:val="3CCB7AFB"/>
    <w:rsid w:val="3CD8469E"/>
    <w:rsid w:val="3CF84A6E"/>
    <w:rsid w:val="3D2C7D07"/>
    <w:rsid w:val="3D2E7413"/>
    <w:rsid w:val="3D406D01"/>
    <w:rsid w:val="3D4E0A24"/>
    <w:rsid w:val="3D5934AC"/>
    <w:rsid w:val="3D966C01"/>
    <w:rsid w:val="3DA51E2F"/>
    <w:rsid w:val="3DB43891"/>
    <w:rsid w:val="3E0B7BD9"/>
    <w:rsid w:val="3E267F59"/>
    <w:rsid w:val="3E2E7FDD"/>
    <w:rsid w:val="3E4456FC"/>
    <w:rsid w:val="3EA877DC"/>
    <w:rsid w:val="3EAF526A"/>
    <w:rsid w:val="3F1E12A1"/>
    <w:rsid w:val="3F7117D8"/>
    <w:rsid w:val="3FEB0FB3"/>
    <w:rsid w:val="40325295"/>
    <w:rsid w:val="407C021F"/>
    <w:rsid w:val="40F33173"/>
    <w:rsid w:val="40F82E28"/>
    <w:rsid w:val="415442A5"/>
    <w:rsid w:val="41585AC3"/>
    <w:rsid w:val="41B34CCB"/>
    <w:rsid w:val="41C87C60"/>
    <w:rsid w:val="41C96466"/>
    <w:rsid w:val="41CC0719"/>
    <w:rsid w:val="41F85DEA"/>
    <w:rsid w:val="420610DF"/>
    <w:rsid w:val="42407D0F"/>
    <w:rsid w:val="425642AB"/>
    <w:rsid w:val="429544E1"/>
    <w:rsid w:val="42B76D04"/>
    <w:rsid w:val="42CE6929"/>
    <w:rsid w:val="42F71CEC"/>
    <w:rsid w:val="43BD07B0"/>
    <w:rsid w:val="43C65B01"/>
    <w:rsid w:val="43DF4E15"/>
    <w:rsid w:val="43E53BCD"/>
    <w:rsid w:val="43F03364"/>
    <w:rsid w:val="443B107F"/>
    <w:rsid w:val="445C4E37"/>
    <w:rsid w:val="44776D6B"/>
    <w:rsid w:val="44843D36"/>
    <w:rsid w:val="44B14540"/>
    <w:rsid w:val="44BA7E1E"/>
    <w:rsid w:val="44BE79C3"/>
    <w:rsid w:val="451675CD"/>
    <w:rsid w:val="45271F81"/>
    <w:rsid w:val="455340E3"/>
    <w:rsid w:val="4557657E"/>
    <w:rsid w:val="45BC7A33"/>
    <w:rsid w:val="45CA31DA"/>
    <w:rsid w:val="45D50D55"/>
    <w:rsid w:val="45DD6E1E"/>
    <w:rsid w:val="45EC6821"/>
    <w:rsid w:val="45F303D0"/>
    <w:rsid w:val="45F84858"/>
    <w:rsid w:val="462356B3"/>
    <w:rsid w:val="464004CF"/>
    <w:rsid w:val="46460503"/>
    <w:rsid w:val="4673772B"/>
    <w:rsid w:val="46A55352"/>
    <w:rsid w:val="46B51FCF"/>
    <w:rsid w:val="46BA0199"/>
    <w:rsid w:val="46FF6AF5"/>
    <w:rsid w:val="47062A9A"/>
    <w:rsid w:val="476E313F"/>
    <w:rsid w:val="4771580B"/>
    <w:rsid w:val="47993F84"/>
    <w:rsid w:val="47BB48EC"/>
    <w:rsid w:val="47BD666C"/>
    <w:rsid w:val="47DB6CDA"/>
    <w:rsid w:val="480A17DC"/>
    <w:rsid w:val="482A3553"/>
    <w:rsid w:val="48896E93"/>
    <w:rsid w:val="4896658D"/>
    <w:rsid w:val="497F7FCC"/>
    <w:rsid w:val="49B17433"/>
    <w:rsid w:val="4A284A82"/>
    <w:rsid w:val="4A42455B"/>
    <w:rsid w:val="4A5C202E"/>
    <w:rsid w:val="4A662E1D"/>
    <w:rsid w:val="4A7E32B4"/>
    <w:rsid w:val="4AF07359"/>
    <w:rsid w:val="4AFC533A"/>
    <w:rsid w:val="4B1367B9"/>
    <w:rsid w:val="4B316DE7"/>
    <w:rsid w:val="4B565C38"/>
    <w:rsid w:val="4B6D7831"/>
    <w:rsid w:val="4B8D0855"/>
    <w:rsid w:val="4B920891"/>
    <w:rsid w:val="4B9C680D"/>
    <w:rsid w:val="4BB221B4"/>
    <w:rsid w:val="4C353BC7"/>
    <w:rsid w:val="4C5D54D6"/>
    <w:rsid w:val="4C814518"/>
    <w:rsid w:val="4C91315E"/>
    <w:rsid w:val="4CAD0872"/>
    <w:rsid w:val="4CCE50CA"/>
    <w:rsid w:val="4CE57F81"/>
    <w:rsid w:val="4D171B62"/>
    <w:rsid w:val="4D2F3630"/>
    <w:rsid w:val="4D3A24A4"/>
    <w:rsid w:val="4D594475"/>
    <w:rsid w:val="4D762F64"/>
    <w:rsid w:val="4D9234E8"/>
    <w:rsid w:val="4D941A9A"/>
    <w:rsid w:val="4DB06342"/>
    <w:rsid w:val="4DEC01C6"/>
    <w:rsid w:val="4DF158ED"/>
    <w:rsid w:val="4E0C3478"/>
    <w:rsid w:val="4E207448"/>
    <w:rsid w:val="4E4D0205"/>
    <w:rsid w:val="4E865DE0"/>
    <w:rsid w:val="4EB31914"/>
    <w:rsid w:val="4EC83A06"/>
    <w:rsid w:val="4EE32FEF"/>
    <w:rsid w:val="4EF20227"/>
    <w:rsid w:val="4F1C0A54"/>
    <w:rsid w:val="4F235FC8"/>
    <w:rsid w:val="4F2C3853"/>
    <w:rsid w:val="4F530CAB"/>
    <w:rsid w:val="4F7F20AA"/>
    <w:rsid w:val="4F873909"/>
    <w:rsid w:val="4F9510BA"/>
    <w:rsid w:val="4FF617D6"/>
    <w:rsid w:val="502B2CEE"/>
    <w:rsid w:val="50507ECA"/>
    <w:rsid w:val="506B2DFC"/>
    <w:rsid w:val="508F3931"/>
    <w:rsid w:val="50E64646"/>
    <w:rsid w:val="50F56E5E"/>
    <w:rsid w:val="50FC2CFB"/>
    <w:rsid w:val="513A3326"/>
    <w:rsid w:val="513B4B9D"/>
    <w:rsid w:val="515C13CF"/>
    <w:rsid w:val="51644678"/>
    <w:rsid w:val="516A6684"/>
    <w:rsid w:val="518C6DB2"/>
    <w:rsid w:val="51AF5989"/>
    <w:rsid w:val="51E25CE3"/>
    <w:rsid w:val="51E261D3"/>
    <w:rsid w:val="51EA16FB"/>
    <w:rsid w:val="51F37246"/>
    <w:rsid w:val="51FF7611"/>
    <w:rsid w:val="5223684A"/>
    <w:rsid w:val="5232529B"/>
    <w:rsid w:val="52A32CE7"/>
    <w:rsid w:val="52A955AB"/>
    <w:rsid w:val="53186CFA"/>
    <w:rsid w:val="532C26FC"/>
    <w:rsid w:val="53322A76"/>
    <w:rsid w:val="53664C1B"/>
    <w:rsid w:val="53C54AA3"/>
    <w:rsid w:val="543468FB"/>
    <w:rsid w:val="547F5841"/>
    <w:rsid w:val="54A648D1"/>
    <w:rsid w:val="54D81A93"/>
    <w:rsid w:val="54DB29BD"/>
    <w:rsid w:val="54E44ED6"/>
    <w:rsid w:val="5529069B"/>
    <w:rsid w:val="55571991"/>
    <w:rsid w:val="566931AC"/>
    <w:rsid w:val="568155BC"/>
    <w:rsid w:val="56F374FB"/>
    <w:rsid w:val="570E1063"/>
    <w:rsid w:val="57613A81"/>
    <w:rsid w:val="5763406D"/>
    <w:rsid w:val="584244B6"/>
    <w:rsid w:val="58457D10"/>
    <w:rsid w:val="58532B7C"/>
    <w:rsid w:val="58D81F5B"/>
    <w:rsid w:val="592D06A1"/>
    <w:rsid w:val="59620232"/>
    <w:rsid w:val="596D61FA"/>
    <w:rsid w:val="59886901"/>
    <w:rsid w:val="59A00F56"/>
    <w:rsid w:val="59B24039"/>
    <w:rsid w:val="59DA5A4F"/>
    <w:rsid w:val="5A31005C"/>
    <w:rsid w:val="5A637CC1"/>
    <w:rsid w:val="5AB72D62"/>
    <w:rsid w:val="5B0260D0"/>
    <w:rsid w:val="5B3D7266"/>
    <w:rsid w:val="5B8D1AC1"/>
    <w:rsid w:val="5BA3592C"/>
    <w:rsid w:val="5BAB7539"/>
    <w:rsid w:val="5BCE0DEA"/>
    <w:rsid w:val="5C5D2B35"/>
    <w:rsid w:val="5C610721"/>
    <w:rsid w:val="5C8B6FF1"/>
    <w:rsid w:val="5C9818A6"/>
    <w:rsid w:val="5CFE4143"/>
    <w:rsid w:val="5D13255A"/>
    <w:rsid w:val="5D331782"/>
    <w:rsid w:val="5D502A92"/>
    <w:rsid w:val="5DE149AA"/>
    <w:rsid w:val="5E204AD7"/>
    <w:rsid w:val="5E4C6102"/>
    <w:rsid w:val="5E6D4BC0"/>
    <w:rsid w:val="5EEA5BA3"/>
    <w:rsid w:val="5F3E69CE"/>
    <w:rsid w:val="5FB9411A"/>
    <w:rsid w:val="5FD528C8"/>
    <w:rsid w:val="5FE11ED3"/>
    <w:rsid w:val="6009519E"/>
    <w:rsid w:val="60325735"/>
    <w:rsid w:val="603D2CDD"/>
    <w:rsid w:val="60AD5F5F"/>
    <w:rsid w:val="60D525F3"/>
    <w:rsid w:val="60E30438"/>
    <w:rsid w:val="61127BCE"/>
    <w:rsid w:val="611E5441"/>
    <w:rsid w:val="612D3C7B"/>
    <w:rsid w:val="617C2D8F"/>
    <w:rsid w:val="61826F89"/>
    <w:rsid w:val="62135DC5"/>
    <w:rsid w:val="622A54BD"/>
    <w:rsid w:val="623E2101"/>
    <w:rsid w:val="626242CD"/>
    <w:rsid w:val="62725968"/>
    <w:rsid w:val="62757735"/>
    <w:rsid w:val="628B64AF"/>
    <w:rsid w:val="62947A1C"/>
    <w:rsid w:val="62A109BE"/>
    <w:rsid w:val="62CD6DE1"/>
    <w:rsid w:val="62E70A4E"/>
    <w:rsid w:val="62FD4A9D"/>
    <w:rsid w:val="631E3D17"/>
    <w:rsid w:val="632C6FC4"/>
    <w:rsid w:val="632F46C6"/>
    <w:rsid w:val="633C129B"/>
    <w:rsid w:val="634B3FF6"/>
    <w:rsid w:val="63930A90"/>
    <w:rsid w:val="63DA517F"/>
    <w:rsid w:val="64460ECC"/>
    <w:rsid w:val="644F5E22"/>
    <w:rsid w:val="64681DB1"/>
    <w:rsid w:val="64902A98"/>
    <w:rsid w:val="64961979"/>
    <w:rsid w:val="64D843A5"/>
    <w:rsid w:val="64E46FA4"/>
    <w:rsid w:val="652B7ADD"/>
    <w:rsid w:val="653E277C"/>
    <w:rsid w:val="657E520F"/>
    <w:rsid w:val="663B46C9"/>
    <w:rsid w:val="663F30CF"/>
    <w:rsid w:val="66DB09CF"/>
    <w:rsid w:val="66F93E1B"/>
    <w:rsid w:val="67413BF6"/>
    <w:rsid w:val="6755359A"/>
    <w:rsid w:val="67A7418D"/>
    <w:rsid w:val="67D27C62"/>
    <w:rsid w:val="67D67A95"/>
    <w:rsid w:val="67DF6978"/>
    <w:rsid w:val="68CC107E"/>
    <w:rsid w:val="68D102AF"/>
    <w:rsid w:val="694C28FF"/>
    <w:rsid w:val="694E04D2"/>
    <w:rsid w:val="695664EF"/>
    <w:rsid w:val="69653491"/>
    <w:rsid w:val="698044A5"/>
    <w:rsid w:val="69E66B78"/>
    <w:rsid w:val="6A3C265A"/>
    <w:rsid w:val="6A510F7A"/>
    <w:rsid w:val="6A7259EE"/>
    <w:rsid w:val="6A8739D3"/>
    <w:rsid w:val="6AA67E64"/>
    <w:rsid w:val="6AF21A55"/>
    <w:rsid w:val="6B0D712F"/>
    <w:rsid w:val="6B28575B"/>
    <w:rsid w:val="6B472B04"/>
    <w:rsid w:val="6B827ED3"/>
    <w:rsid w:val="6B8B198F"/>
    <w:rsid w:val="6BA37D8C"/>
    <w:rsid w:val="6BD66216"/>
    <w:rsid w:val="6BE4485D"/>
    <w:rsid w:val="6BFE3795"/>
    <w:rsid w:val="6C1E113E"/>
    <w:rsid w:val="6C2830FF"/>
    <w:rsid w:val="6C3A1127"/>
    <w:rsid w:val="6C3B11AE"/>
    <w:rsid w:val="6C3B431E"/>
    <w:rsid w:val="6C857DA8"/>
    <w:rsid w:val="6C9B343E"/>
    <w:rsid w:val="6CBB00EF"/>
    <w:rsid w:val="6CC1587C"/>
    <w:rsid w:val="6D266267"/>
    <w:rsid w:val="6D2B74AA"/>
    <w:rsid w:val="6D4A3A68"/>
    <w:rsid w:val="6D697BC3"/>
    <w:rsid w:val="6D7111BC"/>
    <w:rsid w:val="6DCA5CB9"/>
    <w:rsid w:val="6E08583A"/>
    <w:rsid w:val="6E280F38"/>
    <w:rsid w:val="6E5408E4"/>
    <w:rsid w:val="6E8A21F7"/>
    <w:rsid w:val="6EBA3438"/>
    <w:rsid w:val="6ECB7942"/>
    <w:rsid w:val="6EF23592"/>
    <w:rsid w:val="6EFC69C0"/>
    <w:rsid w:val="6F000F0B"/>
    <w:rsid w:val="6F197436"/>
    <w:rsid w:val="6F2867BD"/>
    <w:rsid w:val="6F376285"/>
    <w:rsid w:val="6F44559B"/>
    <w:rsid w:val="70115BE8"/>
    <w:rsid w:val="703A2630"/>
    <w:rsid w:val="703C6A46"/>
    <w:rsid w:val="70561E49"/>
    <w:rsid w:val="709C594C"/>
    <w:rsid w:val="70C723A5"/>
    <w:rsid w:val="71D0045B"/>
    <w:rsid w:val="71D05F49"/>
    <w:rsid w:val="71F773F9"/>
    <w:rsid w:val="720F4381"/>
    <w:rsid w:val="72531BAF"/>
    <w:rsid w:val="725E4C39"/>
    <w:rsid w:val="72612832"/>
    <w:rsid w:val="73090FE2"/>
    <w:rsid w:val="73265607"/>
    <w:rsid w:val="73522B35"/>
    <w:rsid w:val="7399271A"/>
    <w:rsid w:val="73EC173C"/>
    <w:rsid w:val="73F82EA2"/>
    <w:rsid w:val="7435596C"/>
    <w:rsid w:val="74722C9A"/>
    <w:rsid w:val="747E452E"/>
    <w:rsid w:val="74880357"/>
    <w:rsid w:val="74A647DF"/>
    <w:rsid w:val="74D91075"/>
    <w:rsid w:val="74E82CC1"/>
    <w:rsid w:val="74FA5A4A"/>
    <w:rsid w:val="751761ED"/>
    <w:rsid w:val="751A36A3"/>
    <w:rsid w:val="75330480"/>
    <w:rsid w:val="754B57C9"/>
    <w:rsid w:val="755E3B9C"/>
    <w:rsid w:val="755F161D"/>
    <w:rsid w:val="75884210"/>
    <w:rsid w:val="75BD4A84"/>
    <w:rsid w:val="75EA7003"/>
    <w:rsid w:val="760D56E2"/>
    <w:rsid w:val="76342671"/>
    <w:rsid w:val="76EE218C"/>
    <w:rsid w:val="771614C5"/>
    <w:rsid w:val="772E0B03"/>
    <w:rsid w:val="773C532B"/>
    <w:rsid w:val="77642276"/>
    <w:rsid w:val="778A542A"/>
    <w:rsid w:val="77C177F8"/>
    <w:rsid w:val="77DB3F30"/>
    <w:rsid w:val="77EF5E51"/>
    <w:rsid w:val="78114B94"/>
    <w:rsid w:val="7848157E"/>
    <w:rsid w:val="789A3CEC"/>
    <w:rsid w:val="78B94C17"/>
    <w:rsid w:val="78BF6D54"/>
    <w:rsid w:val="79251491"/>
    <w:rsid w:val="79267717"/>
    <w:rsid w:val="79332F0B"/>
    <w:rsid w:val="79550793"/>
    <w:rsid w:val="796923D7"/>
    <w:rsid w:val="79C11BD2"/>
    <w:rsid w:val="79E8078D"/>
    <w:rsid w:val="7A3422EE"/>
    <w:rsid w:val="7A4774F3"/>
    <w:rsid w:val="7A5955C8"/>
    <w:rsid w:val="7A94684B"/>
    <w:rsid w:val="7AA678C6"/>
    <w:rsid w:val="7B016CDB"/>
    <w:rsid w:val="7B113087"/>
    <w:rsid w:val="7B230F9F"/>
    <w:rsid w:val="7B390471"/>
    <w:rsid w:val="7B5441DD"/>
    <w:rsid w:val="7B9D3F28"/>
    <w:rsid w:val="7B9E2E7D"/>
    <w:rsid w:val="7BA5186C"/>
    <w:rsid w:val="7BB92BA6"/>
    <w:rsid w:val="7BEA35A6"/>
    <w:rsid w:val="7C050B07"/>
    <w:rsid w:val="7C9E7A01"/>
    <w:rsid w:val="7D1F3748"/>
    <w:rsid w:val="7D2E186E"/>
    <w:rsid w:val="7D8F4D8B"/>
    <w:rsid w:val="7D972C8E"/>
    <w:rsid w:val="7DBA4407"/>
    <w:rsid w:val="7DD14D63"/>
    <w:rsid w:val="7E04089A"/>
    <w:rsid w:val="7E0773D0"/>
    <w:rsid w:val="7E256583"/>
    <w:rsid w:val="7E3E16AB"/>
    <w:rsid w:val="7E5D66DD"/>
    <w:rsid w:val="7E734104"/>
    <w:rsid w:val="7E7C3173"/>
    <w:rsid w:val="7E926C7F"/>
    <w:rsid w:val="7EE00201"/>
    <w:rsid w:val="7EE628C5"/>
    <w:rsid w:val="7EED3DCE"/>
    <w:rsid w:val="7EEE5FCC"/>
    <w:rsid w:val="7F2E279D"/>
    <w:rsid w:val="7F60044C"/>
    <w:rsid w:val="7F6848DF"/>
    <w:rsid w:val="7F7054DF"/>
    <w:rsid w:val="7F724CCB"/>
    <w:rsid w:val="7F8044A4"/>
    <w:rsid w:val="7F880165"/>
    <w:rsid w:val="7FA55375"/>
    <w:rsid w:val="7FD453A9"/>
    <w:rsid w:val="7FF47A78"/>
    <w:rsid w:val="7FF76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qFormat/>
    <w:uiPriority w:val="0"/>
    <w:pPr>
      <w:spacing w:after="180"/>
      <w:jc w:val="left"/>
    </w:pPr>
    <w:rPr>
      <w:lang w:eastAsia="en-US"/>
    </w:rPr>
  </w:style>
  <w:style w:type="paragraph" w:customStyle="1" w:styleId="62">
    <w:name w:val="B3"/>
    <w:basedOn w:val="11"/>
    <w:qFormat/>
    <w:uiPriority w:val="0"/>
    <w:pPr>
      <w:spacing w:after="180"/>
      <w:jc w:val="left"/>
    </w:pPr>
    <w:rPr>
      <w:lang w:eastAsia="en-US"/>
    </w:rPr>
  </w:style>
  <w:style w:type="paragraph" w:customStyle="1" w:styleId="63">
    <w:name w:val="B4"/>
    <w:basedOn w:val="3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7"/>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54"/>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5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3</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2025-03-28T06:25:05Z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568BCE16BB6A4847938D21A8761A3E74</vt:lpwstr>
  </property>
</Properties>
</file>